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C3" w:rsidRPr="00D12331" w:rsidRDefault="00537D32" w:rsidP="00A7124A">
      <w:pPr>
        <w:spacing w:line="500" w:lineRule="exact"/>
        <w:rPr>
          <w:rFonts w:ascii="標楷體" w:eastAsia="標楷體" w:hAnsi="標楷體"/>
          <w:b/>
          <w:sz w:val="36"/>
          <w:szCs w:val="36"/>
        </w:rPr>
      </w:pPr>
      <w:r w:rsidRPr="00D12331">
        <w:rPr>
          <w:rFonts w:ascii="標楷體" w:eastAsia="標楷體" w:hAnsi="標楷體" w:hint="eastAsia"/>
          <w:b/>
          <w:sz w:val="36"/>
          <w:szCs w:val="36"/>
        </w:rPr>
        <w:t>IFRS 9「金融工具」-</w:t>
      </w:r>
      <w:r w:rsidR="00D12331" w:rsidRPr="00D12331">
        <w:rPr>
          <w:rFonts w:ascii="Times New Roman" w:eastAsia="標楷體" w:hAnsi="Times New Roman"/>
          <w:b/>
          <w:color w:val="000000"/>
          <w:sz w:val="36"/>
          <w:szCs w:val="36"/>
        </w:rPr>
        <w:t>現金流量測試實務案件釋例</w:t>
      </w:r>
    </w:p>
    <w:p w:rsidR="00A17F7F" w:rsidRDefault="000977E4" w:rsidP="00A17F7F">
      <w:pPr>
        <w:autoSpaceDE w:val="0"/>
        <w:autoSpaceDN w:val="0"/>
        <w:adjustRightInd w:val="0"/>
        <w:rPr>
          <w:rFonts w:ascii="標楷體" w:eastAsia="標楷體" w:hAnsi="標楷體"/>
          <w:color w:val="FF0000"/>
          <w:sz w:val="32"/>
          <w:szCs w:val="32"/>
        </w:rPr>
      </w:pPr>
      <w:r>
        <w:rPr>
          <w:rFonts w:ascii="標楷體" w:eastAsia="標楷體" w:hAnsi="標楷體" w:hint="eastAsia"/>
          <w:b/>
          <w:sz w:val="32"/>
          <w:szCs w:val="32"/>
        </w:rPr>
        <w:t>一、</w:t>
      </w:r>
      <w:r w:rsidR="00853DC3" w:rsidRPr="00537D32">
        <w:rPr>
          <w:rFonts w:ascii="標楷體" w:eastAsia="標楷體" w:hAnsi="標楷體" w:hint="eastAsia"/>
          <w:b/>
          <w:sz w:val="32"/>
          <w:szCs w:val="32"/>
        </w:rPr>
        <w:t>前言</w:t>
      </w:r>
    </w:p>
    <w:p w:rsidR="00A17F7F" w:rsidRPr="00D16DB8" w:rsidRDefault="00A17F7F" w:rsidP="000977E4">
      <w:pPr>
        <w:autoSpaceDE w:val="0"/>
        <w:autoSpaceDN w:val="0"/>
        <w:adjustRightInd w:val="0"/>
        <w:spacing w:line="500" w:lineRule="exact"/>
        <w:rPr>
          <w:rFonts w:ascii="Times New Roman" w:eastAsia="標楷體" w:hAnsi="Times New Roman" w:cs="Times New Roman"/>
          <w:kern w:val="0"/>
          <w:sz w:val="28"/>
          <w:szCs w:val="28"/>
        </w:rPr>
      </w:pPr>
      <w:r>
        <w:rPr>
          <w:rFonts w:ascii="Times New Roman" w:eastAsia="標楷體" w:hAnsi="標楷體" w:cs="Times New Roman" w:hint="eastAsia"/>
          <w:sz w:val="28"/>
          <w:szCs w:val="28"/>
        </w:rPr>
        <w:t xml:space="preserve">   </w:t>
      </w:r>
      <w:r w:rsidRPr="000977E4">
        <w:rPr>
          <w:rFonts w:ascii="Times New Roman" w:eastAsia="標楷體" w:hAnsi="標楷體" w:cs="Times New Roman"/>
          <w:sz w:val="28"/>
          <w:szCs w:val="28"/>
        </w:rPr>
        <w:t>依</w:t>
      </w:r>
      <w:r w:rsidR="00D12331" w:rsidRPr="000977E4">
        <w:rPr>
          <w:rFonts w:ascii="Times New Roman" w:eastAsia="標楷體" w:hAnsi="標楷體" w:cs="Times New Roman"/>
          <w:sz w:val="28"/>
          <w:szCs w:val="28"/>
        </w:rPr>
        <w:t>國際財務報導準則第九號「金融工具」</w:t>
      </w:r>
      <w:r w:rsidR="00D12331" w:rsidRPr="000977E4">
        <w:rPr>
          <w:rFonts w:ascii="Times New Roman" w:eastAsia="標楷體" w:hAnsi="Times New Roman" w:cs="Times New Roman"/>
          <w:sz w:val="28"/>
          <w:szCs w:val="28"/>
        </w:rPr>
        <w:t>(</w:t>
      </w:r>
      <w:r w:rsidR="00D12331" w:rsidRPr="000977E4">
        <w:rPr>
          <w:rFonts w:ascii="Times New Roman" w:eastAsia="標楷體" w:hAnsi="標楷體" w:cs="Times New Roman"/>
          <w:sz w:val="28"/>
          <w:szCs w:val="28"/>
        </w:rPr>
        <w:t>以下簡稱</w:t>
      </w:r>
      <w:r w:rsidR="00D12331" w:rsidRPr="000977E4">
        <w:rPr>
          <w:rFonts w:ascii="Times New Roman" w:eastAsia="標楷體" w:hAnsi="Times New Roman" w:cs="Times New Roman"/>
          <w:sz w:val="28"/>
          <w:szCs w:val="28"/>
        </w:rPr>
        <w:t>IFRS 9)</w:t>
      </w:r>
      <w:r w:rsidRPr="000977E4">
        <w:rPr>
          <w:rFonts w:ascii="Times New Roman" w:eastAsia="標楷體" w:hAnsi="Times New Roman" w:cs="Times New Roman"/>
          <w:sz w:val="28"/>
          <w:szCs w:val="28"/>
        </w:rPr>
        <w:t>4.1.2</w:t>
      </w:r>
      <w:r w:rsidRPr="000977E4">
        <w:rPr>
          <w:rFonts w:ascii="Times New Roman" w:eastAsia="標楷體" w:hAnsi="標楷體" w:cs="Times New Roman"/>
          <w:sz w:val="28"/>
          <w:szCs w:val="28"/>
        </w:rPr>
        <w:t>及</w:t>
      </w:r>
      <w:r w:rsidRPr="000977E4">
        <w:rPr>
          <w:rFonts w:ascii="Times New Roman" w:eastAsia="標楷體" w:hAnsi="Times New Roman" w:cs="Times New Roman"/>
          <w:sz w:val="28"/>
          <w:szCs w:val="28"/>
        </w:rPr>
        <w:t>4.1.2A</w:t>
      </w:r>
      <w:r w:rsidRPr="000977E4">
        <w:rPr>
          <w:rFonts w:ascii="Times New Roman" w:eastAsia="標楷體" w:hAnsi="標楷體" w:cs="Times New Roman"/>
          <w:sz w:val="28"/>
          <w:szCs w:val="28"/>
        </w:rPr>
        <w:t>之規定，</w:t>
      </w:r>
      <w:r w:rsidRPr="000977E4">
        <w:rPr>
          <w:rFonts w:ascii="Times New Roman" w:eastAsia="標楷體" w:hAnsi="標楷體" w:cs="Times New Roman"/>
          <w:kern w:val="0"/>
          <w:sz w:val="28"/>
          <w:szCs w:val="28"/>
        </w:rPr>
        <w:t>金融資產之合約條款產生特定日期之現金流量，該等現金流量須完全為支付本金及流通在外本金金額之利息</w:t>
      </w:r>
      <w:r w:rsidR="000977E4" w:rsidRPr="000977E4">
        <w:rPr>
          <w:rFonts w:ascii="Times New Roman" w:eastAsia="標楷體" w:hAnsi="Times New Roman" w:cs="Times New Roman"/>
          <w:spacing w:val="20"/>
          <w:kern w:val="0"/>
          <w:sz w:val="28"/>
          <w:szCs w:val="28"/>
          <w:lang w:val="en-GB"/>
        </w:rPr>
        <w:t xml:space="preserve">(Solely Payments of Principal and Interest, </w:t>
      </w:r>
      <w:r w:rsidR="000977E4" w:rsidRPr="000977E4">
        <w:rPr>
          <w:rFonts w:ascii="Times New Roman" w:eastAsia="標楷體" w:hAnsi="標楷體" w:cs="Times New Roman"/>
          <w:spacing w:val="20"/>
          <w:kern w:val="0"/>
          <w:sz w:val="28"/>
          <w:szCs w:val="28"/>
          <w:lang w:val="en-GB"/>
        </w:rPr>
        <w:t>以下簡稱</w:t>
      </w:r>
      <w:r w:rsidR="000977E4" w:rsidRPr="000977E4">
        <w:rPr>
          <w:rFonts w:ascii="Times New Roman" w:eastAsia="標楷體" w:hAnsi="Times New Roman" w:cs="Times New Roman"/>
          <w:spacing w:val="20"/>
          <w:kern w:val="0"/>
          <w:sz w:val="28"/>
          <w:szCs w:val="28"/>
          <w:lang w:val="en-GB"/>
        </w:rPr>
        <w:t>SPPI)</w:t>
      </w:r>
      <w:r w:rsidRPr="000977E4">
        <w:rPr>
          <w:rFonts w:ascii="Times New Roman" w:eastAsia="標楷體" w:hAnsi="標楷體" w:cs="Times New Roman"/>
          <w:kern w:val="0"/>
          <w:sz w:val="28"/>
          <w:szCs w:val="28"/>
        </w:rPr>
        <w:t>時，該金融工具可依經營模式分類</w:t>
      </w:r>
      <w:proofErr w:type="gramStart"/>
      <w:r w:rsidRPr="000977E4">
        <w:rPr>
          <w:rFonts w:ascii="Times New Roman" w:eastAsia="標楷體" w:hAnsi="標楷體" w:cs="Times New Roman"/>
          <w:kern w:val="0"/>
          <w:sz w:val="28"/>
          <w:szCs w:val="28"/>
        </w:rPr>
        <w:t>為攤銷後</w:t>
      </w:r>
      <w:proofErr w:type="gramEnd"/>
      <w:r w:rsidRPr="000977E4">
        <w:rPr>
          <w:rFonts w:ascii="Times New Roman" w:eastAsia="標楷體" w:hAnsi="標楷體" w:cs="Times New Roman"/>
          <w:kern w:val="0"/>
          <w:sz w:val="28"/>
          <w:szCs w:val="28"/>
        </w:rPr>
        <w:t>成本或透過其他綜合損益按公允價值衡量。</w:t>
      </w:r>
      <w:r w:rsidR="00D16DB8" w:rsidRPr="00D16DB8">
        <w:rPr>
          <w:rFonts w:ascii="Times New Roman" w:eastAsia="標楷體" w:hAnsi="Times New Roman" w:cs="Times New Roman"/>
          <w:kern w:val="0"/>
          <w:sz w:val="28"/>
          <w:szCs w:val="28"/>
        </w:rPr>
        <w:t>IFRS 9.</w:t>
      </w:r>
      <w:r w:rsidR="00D16DB8" w:rsidRPr="00D16DB8">
        <w:rPr>
          <w:rFonts w:ascii="Times New Roman" w:eastAsia="標楷體" w:hAnsi="Times New Roman" w:cs="Times New Roman"/>
          <w:bCs/>
          <w:kern w:val="0"/>
          <w:sz w:val="28"/>
          <w:szCs w:val="28"/>
        </w:rPr>
        <w:t>B4.1.1</w:t>
      </w:r>
      <w:r w:rsidR="00D16DB8" w:rsidRPr="00D16DB8">
        <w:rPr>
          <w:rFonts w:ascii="Times New Roman" w:eastAsia="標楷體" w:hAnsi="標楷體" w:cs="Times New Roman"/>
          <w:kern w:val="0"/>
          <w:sz w:val="28"/>
          <w:szCs w:val="28"/>
        </w:rPr>
        <w:t>至</w:t>
      </w:r>
      <w:r w:rsidR="00D16DB8" w:rsidRPr="00D16DB8">
        <w:rPr>
          <w:rFonts w:ascii="Times New Roman" w:eastAsia="標楷體" w:hAnsi="Times New Roman" w:cs="Times New Roman"/>
          <w:bCs/>
          <w:kern w:val="0"/>
          <w:sz w:val="28"/>
          <w:szCs w:val="28"/>
        </w:rPr>
        <w:t>B4.1.26</w:t>
      </w:r>
      <w:r w:rsidR="00D16DB8" w:rsidRPr="00D16DB8">
        <w:rPr>
          <w:rFonts w:ascii="Times New Roman" w:eastAsia="標楷體" w:hAnsi="標楷體" w:cs="Times New Roman"/>
          <w:kern w:val="0"/>
          <w:sz w:val="28"/>
          <w:szCs w:val="28"/>
        </w:rPr>
        <w:t>段並提供如何適用該等條件之指引。</w:t>
      </w:r>
      <w:proofErr w:type="gramStart"/>
      <w:r w:rsidR="00D16DB8" w:rsidRPr="00D16DB8">
        <w:rPr>
          <w:rFonts w:ascii="Times New Roman" w:eastAsia="標楷體" w:hAnsi="標楷體" w:cs="Times New Roman"/>
          <w:kern w:val="0"/>
          <w:sz w:val="28"/>
          <w:szCs w:val="28"/>
        </w:rPr>
        <w:t>此外，</w:t>
      </w:r>
      <w:proofErr w:type="gramEnd"/>
      <w:r w:rsidR="00D16DB8" w:rsidRPr="00D16DB8">
        <w:rPr>
          <w:rFonts w:ascii="Times New Roman" w:eastAsia="標楷體" w:hAnsi="Times New Roman" w:cs="Times New Roman"/>
          <w:kern w:val="0"/>
          <w:sz w:val="28"/>
          <w:szCs w:val="28"/>
        </w:rPr>
        <w:t>IFRS 9.4.1.3</w:t>
      </w:r>
      <w:r w:rsidR="00D16DB8" w:rsidRPr="00D16DB8">
        <w:rPr>
          <w:rFonts w:ascii="Times New Roman" w:eastAsia="標楷體" w:hAnsi="標楷體" w:cs="Times New Roman"/>
          <w:kern w:val="0"/>
          <w:sz w:val="28"/>
          <w:szCs w:val="28"/>
        </w:rPr>
        <w:t>並定義所謂本金係指金融資產於原始認列時之公允價值而利息由下列對價組成：貨幣時間價值、與特定期間內流通在外本金金額相關之信用風險，以及其他基本放款風險與成本及利潤邊際。</w:t>
      </w:r>
      <w:r w:rsidR="00D16DB8">
        <w:rPr>
          <w:rFonts w:ascii="Times New Roman" w:eastAsia="標楷體" w:hAnsi="標楷體" w:cs="Times New Roman" w:hint="eastAsia"/>
          <w:kern w:val="0"/>
          <w:sz w:val="28"/>
          <w:szCs w:val="28"/>
        </w:rPr>
        <w:t>基於金融工具特性之複雜性，於評估債務金融工具是否能符合前述</w:t>
      </w:r>
    </w:p>
    <w:p w:rsidR="00690213" w:rsidRDefault="000977E4" w:rsidP="000977E4">
      <w:pPr>
        <w:spacing w:line="500" w:lineRule="exact"/>
        <w:rPr>
          <w:rFonts w:ascii="Times New Roman" w:eastAsia="標楷體" w:hAnsi="標楷體" w:cs="Times New Roman"/>
          <w:kern w:val="0"/>
          <w:sz w:val="28"/>
          <w:szCs w:val="28"/>
        </w:rPr>
      </w:pPr>
      <w:r>
        <w:rPr>
          <w:rFonts w:ascii="Times New Roman" w:eastAsia="標楷體" w:hAnsi="標楷體" w:cs="Times New Roman" w:hint="eastAsia"/>
          <w:kern w:val="0"/>
          <w:sz w:val="28"/>
          <w:szCs w:val="28"/>
        </w:rPr>
        <w:t>SPPI</w:t>
      </w:r>
      <w:r>
        <w:rPr>
          <w:rFonts w:ascii="Times New Roman" w:eastAsia="標楷體" w:hAnsi="標楷體" w:cs="Times New Roman" w:hint="eastAsia"/>
          <w:kern w:val="0"/>
          <w:sz w:val="28"/>
          <w:szCs w:val="28"/>
        </w:rPr>
        <w:t>條件時可能需有適用上之疑義，因是本指引針對以下實務界提供之特定金融工具於適用</w:t>
      </w:r>
      <w:r>
        <w:rPr>
          <w:rFonts w:ascii="Times New Roman" w:eastAsia="標楷體" w:hAnsi="標楷體" w:cs="Times New Roman" w:hint="eastAsia"/>
          <w:kern w:val="0"/>
          <w:sz w:val="28"/>
          <w:szCs w:val="28"/>
        </w:rPr>
        <w:t>IFRS 9</w:t>
      </w:r>
      <w:r>
        <w:rPr>
          <w:rFonts w:ascii="Times New Roman" w:eastAsia="標楷體" w:hAnsi="標楷體" w:cs="Times New Roman" w:hint="eastAsia"/>
          <w:kern w:val="0"/>
          <w:sz w:val="28"/>
          <w:szCs w:val="28"/>
        </w:rPr>
        <w:t>時如何判斷是否符合</w:t>
      </w:r>
      <w:r>
        <w:rPr>
          <w:rFonts w:ascii="Times New Roman" w:eastAsia="標楷體" w:hAnsi="標楷體" w:cs="Times New Roman" w:hint="eastAsia"/>
          <w:kern w:val="0"/>
          <w:sz w:val="28"/>
          <w:szCs w:val="28"/>
        </w:rPr>
        <w:t>SPPI</w:t>
      </w:r>
      <w:r>
        <w:rPr>
          <w:rFonts w:ascii="Times New Roman" w:eastAsia="標楷體" w:hAnsi="標楷體" w:cs="Times New Roman" w:hint="eastAsia"/>
          <w:kern w:val="0"/>
          <w:sz w:val="28"/>
          <w:szCs w:val="28"/>
        </w:rPr>
        <w:t>條件</w:t>
      </w:r>
      <w:r w:rsidR="00F5093B">
        <w:rPr>
          <w:rFonts w:ascii="Times New Roman" w:eastAsia="標楷體" w:hAnsi="標楷體" w:cs="Times New Roman" w:hint="eastAsia"/>
          <w:kern w:val="0"/>
          <w:sz w:val="28"/>
          <w:szCs w:val="28"/>
        </w:rPr>
        <w:t>提出說明。</w:t>
      </w:r>
    </w:p>
    <w:p w:rsidR="00D16DB8" w:rsidRPr="00D16DB8" w:rsidRDefault="00D16DB8" w:rsidP="000977E4">
      <w:pPr>
        <w:spacing w:line="500" w:lineRule="exact"/>
        <w:rPr>
          <w:rFonts w:ascii="標楷體" w:eastAsia="標楷體" w:hAnsi="標楷體"/>
          <w:b/>
          <w:sz w:val="28"/>
          <w:szCs w:val="28"/>
        </w:rPr>
      </w:pPr>
    </w:p>
    <w:p w:rsidR="00690213" w:rsidRDefault="00853DC3" w:rsidP="000977E4">
      <w:pPr>
        <w:pStyle w:val="a7"/>
        <w:numPr>
          <w:ilvl w:val="0"/>
          <w:numId w:val="4"/>
        </w:numPr>
        <w:spacing w:line="500" w:lineRule="exact"/>
        <w:ind w:leftChars="0"/>
        <w:rPr>
          <w:rFonts w:ascii="標楷體" w:eastAsia="標楷體" w:hAnsi="標楷體"/>
          <w:b/>
          <w:sz w:val="32"/>
          <w:szCs w:val="32"/>
        </w:rPr>
      </w:pPr>
      <w:r w:rsidRPr="000977E4">
        <w:rPr>
          <w:rFonts w:ascii="標楷體" w:eastAsia="標楷體" w:hAnsi="標楷體" w:hint="eastAsia"/>
          <w:b/>
          <w:sz w:val="32"/>
          <w:szCs w:val="32"/>
        </w:rPr>
        <w:t>指引內容</w:t>
      </w:r>
    </w:p>
    <w:p w:rsidR="00000483" w:rsidRPr="0055277E" w:rsidRDefault="00F618AA" w:rsidP="008431B5">
      <w:pPr>
        <w:autoSpaceDE w:val="0"/>
        <w:autoSpaceDN w:val="0"/>
        <w:adjustRightInd w:val="0"/>
        <w:spacing w:line="500" w:lineRule="exact"/>
        <w:rPr>
          <w:rFonts w:ascii="Times New Roman" w:eastAsia="標楷體" w:hAnsi="Times New Roman" w:cs="Times New Roman"/>
          <w:kern w:val="0"/>
          <w:sz w:val="28"/>
          <w:szCs w:val="28"/>
        </w:rPr>
      </w:pPr>
      <w:proofErr w:type="gramStart"/>
      <w:r w:rsidRPr="0055277E">
        <w:rPr>
          <w:rFonts w:ascii="Times New Roman" w:eastAsia="標楷體" w:hAnsi="標楷體" w:cs="Times New Roman"/>
          <w:kern w:val="0"/>
          <w:sz w:val="28"/>
          <w:szCs w:val="28"/>
        </w:rPr>
        <w:t>釋例</w:t>
      </w:r>
      <w:proofErr w:type="gramEnd"/>
      <w:r w:rsidR="00AF4C21">
        <w:rPr>
          <w:rFonts w:ascii="Times New Roman" w:eastAsia="標楷體" w:hAnsi="Times New Roman" w:cs="Times New Roman" w:hint="eastAsia"/>
          <w:kern w:val="0"/>
          <w:sz w:val="28"/>
          <w:szCs w:val="28"/>
        </w:rPr>
        <w:t>1</w:t>
      </w:r>
      <w:r w:rsidRPr="0055277E">
        <w:rPr>
          <w:rFonts w:ascii="Times New Roman" w:eastAsia="標楷體" w:hAnsi="Times New Roman" w:cs="Times New Roman"/>
          <w:kern w:val="0"/>
          <w:sz w:val="28"/>
          <w:szCs w:val="28"/>
        </w:rPr>
        <w:t xml:space="preserve">: </w:t>
      </w:r>
      <w:r w:rsidR="00597D8B" w:rsidRPr="0055277E">
        <w:rPr>
          <w:rFonts w:ascii="Times New Roman" w:eastAsia="標楷體" w:hAnsi="標楷體" w:cs="Times New Roman"/>
          <w:kern w:val="0"/>
          <w:sz w:val="28"/>
          <w:szCs w:val="28"/>
        </w:rPr>
        <w:t>具自我救助</w:t>
      </w:r>
      <w:r w:rsidR="00597D8B" w:rsidRPr="0055277E">
        <w:rPr>
          <w:rFonts w:ascii="Times New Roman" w:eastAsia="標楷體" w:hAnsi="Times New Roman" w:cs="Times New Roman"/>
          <w:kern w:val="0"/>
          <w:sz w:val="28"/>
          <w:szCs w:val="28"/>
        </w:rPr>
        <w:t>(Bail-in)</w:t>
      </w:r>
      <w:r w:rsidR="00597D8B" w:rsidRPr="0055277E">
        <w:rPr>
          <w:rFonts w:ascii="Times New Roman" w:eastAsia="標楷體" w:hAnsi="標楷體" w:cs="Times New Roman"/>
          <w:kern w:val="0"/>
          <w:sz w:val="28"/>
          <w:szCs w:val="28"/>
        </w:rPr>
        <w:t>性質之金融工具</w:t>
      </w:r>
    </w:p>
    <w:p w:rsidR="00501465" w:rsidRPr="008431B5" w:rsidRDefault="005E6485" w:rsidP="008431B5">
      <w:pPr>
        <w:autoSpaceDE w:val="0"/>
        <w:autoSpaceDN w:val="0"/>
        <w:adjustRightInd w:val="0"/>
        <w:spacing w:line="500" w:lineRule="exact"/>
        <w:rPr>
          <w:rFonts w:ascii="Times New Roman" w:eastAsia="標楷體" w:hAnsi="Times New Roman" w:cs="Times New Roman"/>
          <w:kern w:val="0"/>
          <w:sz w:val="28"/>
          <w:szCs w:val="28"/>
        </w:rPr>
      </w:pPr>
      <w:r>
        <w:rPr>
          <w:rFonts w:ascii="Times New Roman" w:eastAsia="標楷體" w:hAnsi="Times New Roman" w:cs="Times New Roman" w:hint="eastAsia"/>
          <w:spacing w:val="20"/>
          <w:kern w:val="0"/>
          <w:sz w:val="28"/>
          <w:szCs w:val="28"/>
        </w:rPr>
        <w:t xml:space="preserve">    </w:t>
      </w:r>
      <w:r w:rsidR="00597D8B" w:rsidRPr="008431B5">
        <w:rPr>
          <w:rFonts w:ascii="Times New Roman" w:eastAsia="標楷體" w:hAnsi="Times New Roman" w:cs="Times New Roman"/>
          <w:spacing w:val="20"/>
          <w:kern w:val="0"/>
          <w:sz w:val="28"/>
          <w:szCs w:val="28"/>
        </w:rPr>
        <w:t>B</w:t>
      </w:r>
      <w:r w:rsidR="00597D8B" w:rsidRPr="008431B5">
        <w:rPr>
          <w:rFonts w:ascii="Times New Roman" w:eastAsia="標楷體" w:hAnsi="標楷體" w:cs="Times New Roman"/>
          <w:spacing w:val="20"/>
          <w:kern w:val="0"/>
          <w:sz w:val="28"/>
          <w:szCs w:val="28"/>
          <w:lang w:val="en-GB"/>
        </w:rPr>
        <w:t>公司投資由美國銀行發行之</w:t>
      </w:r>
      <w:r w:rsidR="00597D8B" w:rsidRPr="008431B5">
        <w:rPr>
          <w:rFonts w:ascii="Times New Roman" w:eastAsia="標楷體" w:hAnsi="Times New Roman" w:cs="Times New Roman"/>
          <w:spacing w:val="20"/>
          <w:kern w:val="0"/>
          <w:sz w:val="28"/>
          <w:szCs w:val="28"/>
          <w:lang w:val="en-GB"/>
        </w:rPr>
        <w:t>30</w:t>
      </w:r>
      <w:r w:rsidR="00597D8B" w:rsidRPr="008431B5">
        <w:rPr>
          <w:rFonts w:ascii="Times New Roman" w:eastAsia="標楷體" w:hAnsi="標楷體" w:cs="Times New Roman"/>
          <w:spacing w:val="20"/>
          <w:kern w:val="0"/>
          <w:sz w:val="28"/>
          <w:szCs w:val="28"/>
          <w:lang w:val="en-GB"/>
        </w:rPr>
        <w:t>年期</w:t>
      </w:r>
      <w:proofErr w:type="gramStart"/>
      <w:r w:rsidR="00D53BA2" w:rsidRPr="008431B5">
        <w:rPr>
          <w:rFonts w:ascii="Times New Roman" w:eastAsia="標楷體" w:hAnsi="標楷體" w:cs="Times New Roman"/>
          <w:spacing w:val="20"/>
          <w:kern w:val="0"/>
          <w:sz w:val="28"/>
          <w:szCs w:val="28"/>
          <w:lang w:val="en-GB"/>
        </w:rPr>
        <w:t>零息</w:t>
      </w:r>
      <w:r w:rsidR="00597D8B" w:rsidRPr="008431B5">
        <w:rPr>
          <w:rFonts w:ascii="Times New Roman" w:eastAsia="標楷體" w:hAnsi="標楷體" w:cs="Times New Roman"/>
          <w:spacing w:val="20"/>
          <w:kern w:val="0"/>
          <w:sz w:val="28"/>
          <w:szCs w:val="28"/>
          <w:lang w:val="en-GB"/>
        </w:rPr>
        <w:t>債</w:t>
      </w:r>
      <w:proofErr w:type="gramEnd"/>
      <w:r w:rsidR="00597D8B" w:rsidRPr="008431B5">
        <w:rPr>
          <w:rFonts w:ascii="Times New Roman" w:eastAsia="標楷體" w:hAnsi="標楷體" w:cs="Times New Roman"/>
          <w:spacing w:val="20"/>
          <w:kern w:val="0"/>
          <w:sz w:val="28"/>
          <w:szCs w:val="28"/>
          <w:lang w:val="en-GB"/>
        </w:rPr>
        <w:t>，發行人</w:t>
      </w:r>
      <w:r w:rsidR="00D53BA2" w:rsidRPr="008431B5">
        <w:rPr>
          <w:rFonts w:ascii="Times New Roman" w:eastAsia="標楷體" w:hAnsi="標楷體" w:cs="Times New Roman"/>
          <w:spacing w:val="20"/>
          <w:kern w:val="0"/>
          <w:sz w:val="28"/>
          <w:szCs w:val="28"/>
          <w:lang w:val="en-GB"/>
        </w:rPr>
        <w:t>另</w:t>
      </w:r>
      <w:r w:rsidR="00597D8B" w:rsidRPr="008431B5">
        <w:rPr>
          <w:rFonts w:ascii="Times New Roman" w:eastAsia="標楷體" w:hAnsi="標楷體" w:cs="Times New Roman"/>
          <w:spacing w:val="20"/>
          <w:kern w:val="0"/>
          <w:sz w:val="28"/>
          <w:szCs w:val="28"/>
          <w:lang w:val="en-GB"/>
        </w:rPr>
        <w:t>可</w:t>
      </w:r>
      <w:r w:rsidR="00D53BA2" w:rsidRPr="008431B5">
        <w:rPr>
          <w:rFonts w:ascii="Times New Roman" w:eastAsia="標楷體" w:hAnsi="標楷體" w:cs="Times New Roman"/>
          <w:spacing w:val="20"/>
          <w:kern w:val="0"/>
          <w:sz w:val="28"/>
          <w:szCs w:val="28"/>
          <w:lang w:val="en-GB"/>
        </w:rPr>
        <w:t>於合約條款上訂定之固定贖回日依約定贖回價格贖回</w:t>
      </w:r>
      <w:proofErr w:type="gramStart"/>
      <w:r w:rsidR="00D53BA2" w:rsidRPr="008431B5">
        <w:rPr>
          <w:rFonts w:ascii="Times New Roman" w:eastAsia="標楷體" w:hAnsi="標楷體" w:cs="Times New Roman"/>
          <w:spacing w:val="20"/>
          <w:kern w:val="0"/>
          <w:sz w:val="28"/>
          <w:szCs w:val="28"/>
          <w:lang w:val="en-GB"/>
        </w:rPr>
        <w:t>零息債</w:t>
      </w:r>
      <w:proofErr w:type="gramEnd"/>
      <w:r w:rsidR="00D53BA2" w:rsidRPr="008431B5">
        <w:rPr>
          <w:rFonts w:ascii="Times New Roman" w:eastAsia="標楷體" w:hAnsi="標楷體" w:cs="Times New Roman"/>
          <w:spacing w:val="20"/>
          <w:kern w:val="0"/>
          <w:sz w:val="28"/>
          <w:szCs w:val="28"/>
          <w:lang w:val="en-GB"/>
        </w:rPr>
        <w:t>，</w:t>
      </w:r>
      <w:proofErr w:type="gramStart"/>
      <w:r w:rsidR="00D53BA2" w:rsidRPr="008431B5">
        <w:rPr>
          <w:rFonts w:ascii="Times New Roman" w:eastAsia="標楷體" w:hAnsi="標楷體" w:cs="Times New Roman"/>
          <w:spacing w:val="20"/>
          <w:kern w:val="0"/>
          <w:sz w:val="28"/>
          <w:szCs w:val="28"/>
          <w:lang w:val="en-GB"/>
        </w:rPr>
        <w:t>零息債贖回</w:t>
      </w:r>
      <w:proofErr w:type="gramEnd"/>
      <w:r w:rsidR="00D53BA2" w:rsidRPr="008431B5">
        <w:rPr>
          <w:rFonts w:ascii="Times New Roman" w:eastAsia="標楷體" w:hAnsi="標楷體" w:cs="Times New Roman"/>
          <w:spacing w:val="20"/>
          <w:kern w:val="0"/>
          <w:sz w:val="28"/>
          <w:szCs w:val="28"/>
          <w:lang w:val="en-GB"/>
        </w:rPr>
        <w:t>價格約當等於該公司原始投資本金加利息，惟該金融工具另含有自我救助條款</w:t>
      </w:r>
      <w:r w:rsidR="00D53BA2" w:rsidRPr="008431B5">
        <w:rPr>
          <w:rFonts w:ascii="Times New Roman" w:eastAsia="標楷體" w:hAnsi="Times New Roman" w:cs="Times New Roman"/>
          <w:kern w:val="0"/>
          <w:sz w:val="28"/>
          <w:szCs w:val="28"/>
        </w:rPr>
        <w:t>(Bail-in)</w:t>
      </w:r>
      <w:r w:rsidR="0055277E" w:rsidRPr="008431B5">
        <w:rPr>
          <w:rFonts w:ascii="Times New Roman" w:eastAsia="標楷體" w:hAnsi="標楷體" w:cs="Times New Roman"/>
          <w:kern w:val="0"/>
          <w:sz w:val="28"/>
          <w:szCs w:val="28"/>
        </w:rPr>
        <w:t>，合約</w:t>
      </w:r>
      <w:r w:rsidR="00D53BA2" w:rsidRPr="008431B5">
        <w:rPr>
          <w:rFonts w:ascii="Times New Roman" w:eastAsia="標楷體" w:hAnsi="標楷體" w:cs="Times New Roman"/>
          <w:kern w:val="0"/>
          <w:sz w:val="28"/>
          <w:szCs w:val="28"/>
        </w:rPr>
        <w:t>提及此金融工具係屬美國聯備理事會所頒部相關法令中所定義之損失吸收載具</w:t>
      </w:r>
      <w:r w:rsidR="00D53BA2" w:rsidRPr="008431B5">
        <w:rPr>
          <w:rFonts w:ascii="Times New Roman" w:eastAsia="標楷體" w:hAnsi="Times New Roman" w:cs="Times New Roman"/>
          <w:kern w:val="0"/>
          <w:sz w:val="28"/>
          <w:szCs w:val="28"/>
        </w:rPr>
        <w:t>(loss absorption capacity)</w:t>
      </w:r>
      <w:r w:rsidR="00D53BA2" w:rsidRPr="008431B5">
        <w:rPr>
          <w:rFonts w:ascii="Times New Roman" w:eastAsia="標楷體" w:hAnsi="標楷體" w:cs="Times New Roman"/>
          <w:kern w:val="0"/>
          <w:sz w:val="28"/>
          <w:szCs w:val="28"/>
        </w:rPr>
        <w:t>，依相關法令，屬美國系統性重要之銀行</w:t>
      </w:r>
      <w:r w:rsidR="0055277E" w:rsidRPr="008431B5">
        <w:rPr>
          <w:rFonts w:ascii="Times New Roman" w:eastAsia="標楷體" w:hAnsi="標楷體" w:cs="Times New Roman"/>
          <w:kern w:val="0"/>
          <w:sz w:val="28"/>
          <w:szCs w:val="28"/>
        </w:rPr>
        <w:t>自</w:t>
      </w:r>
      <w:proofErr w:type="gramStart"/>
      <w:r w:rsidR="0055277E" w:rsidRPr="008431B5">
        <w:rPr>
          <w:rFonts w:ascii="Times New Roman" w:eastAsia="標楷體" w:hAnsi="Times New Roman" w:cs="Times New Roman"/>
          <w:kern w:val="0"/>
          <w:sz w:val="28"/>
          <w:szCs w:val="28"/>
        </w:rPr>
        <w:t>2019</w:t>
      </w:r>
      <w:r w:rsidR="0055277E" w:rsidRPr="008431B5">
        <w:rPr>
          <w:rFonts w:ascii="Times New Roman" w:eastAsia="標楷體" w:hAnsi="標楷體" w:cs="Times New Roman"/>
          <w:kern w:val="0"/>
          <w:sz w:val="28"/>
          <w:szCs w:val="28"/>
        </w:rPr>
        <w:t>年</w:t>
      </w:r>
      <w:r w:rsidR="0055277E" w:rsidRPr="008431B5">
        <w:rPr>
          <w:rFonts w:ascii="Times New Roman" w:eastAsia="標楷體" w:hAnsi="Times New Roman" w:cs="Times New Roman"/>
          <w:kern w:val="0"/>
          <w:sz w:val="28"/>
          <w:szCs w:val="28"/>
        </w:rPr>
        <w:t>1</w:t>
      </w:r>
      <w:r w:rsidR="0055277E" w:rsidRPr="008431B5">
        <w:rPr>
          <w:rFonts w:ascii="Times New Roman" w:eastAsia="標楷體" w:hAnsi="標楷體" w:cs="Times New Roman"/>
          <w:kern w:val="0"/>
          <w:sz w:val="28"/>
          <w:szCs w:val="28"/>
        </w:rPr>
        <w:t>月</w:t>
      </w:r>
      <w:r w:rsidR="0055277E" w:rsidRPr="008431B5">
        <w:rPr>
          <w:rFonts w:ascii="Times New Roman" w:eastAsia="標楷體" w:hAnsi="Times New Roman" w:cs="Times New Roman"/>
          <w:kern w:val="0"/>
          <w:sz w:val="28"/>
          <w:szCs w:val="28"/>
        </w:rPr>
        <w:t>1</w:t>
      </w:r>
      <w:r w:rsidR="0055277E" w:rsidRPr="008431B5">
        <w:rPr>
          <w:rFonts w:ascii="Times New Roman" w:eastAsia="標楷體" w:hAnsi="標楷體" w:cs="Times New Roman"/>
          <w:kern w:val="0"/>
          <w:sz w:val="28"/>
          <w:szCs w:val="28"/>
        </w:rPr>
        <w:t>日起均</w:t>
      </w:r>
      <w:r w:rsidR="00D53BA2" w:rsidRPr="008431B5">
        <w:rPr>
          <w:rFonts w:ascii="Times New Roman" w:eastAsia="標楷體" w:hAnsi="標楷體" w:cs="Times New Roman"/>
          <w:kern w:val="0"/>
          <w:sz w:val="28"/>
          <w:szCs w:val="28"/>
        </w:rPr>
        <w:t>須維持</w:t>
      </w:r>
      <w:proofErr w:type="gramEnd"/>
      <w:r w:rsidR="00D53BA2" w:rsidRPr="008431B5">
        <w:rPr>
          <w:rFonts w:ascii="Times New Roman" w:eastAsia="標楷體" w:hAnsi="標楷體" w:cs="Times New Roman"/>
          <w:kern w:val="0"/>
          <w:sz w:val="28"/>
          <w:szCs w:val="28"/>
        </w:rPr>
        <w:t>此類</w:t>
      </w:r>
      <w:r w:rsidR="0055277E" w:rsidRPr="008431B5">
        <w:rPr>
          <w:rFonts w:ascii="Times New Roman" w:eastAsia="標楷體" w:hAnsi="標楷體" w:cs="Times New Roman"/>
          <w:kern w:val="0"/>
          <w:sz w:val="28"/>
          <w:szCs w:val="28"/>
        </w:rPr>
        <w:t>金融工具之最低水準。如發行人進入美國破產法程序，債券持有人所持有之金融工具將</w:t>
      </w:r>
      <w:r w:rsidRPr="008431B5">
        <w:rPr>
          <w:rFonts w:ascii="Times New Roman" w:eastAsia="標楷體" w:hAnsi="標楷體" w:cs="Times New Roman"/>
          <w:kern w:val="0"/>
          <w:sz w:val="28"/>
          <w:szCs w:val="28"/>
        </w:rPr>
        <w:t>產生</w:t>
      </w:r>
      <w:r w:rsidR="0055277E" w:rsidRPr="008431B5">
        <w:rPr>
          <w:rFonts w:ascii="Times New Roman" w:eastAsia="標楷體" w:hAnsi="標楷體" w:cs="Times New Roman"/>
          <w:kern w:val="0"/>
          <w:sz w:val="28"/>
          <w:szCs w:val="28"/>
        </w:rPr>
        <w:t>轉為吸收損失</w:t>
      </w:r>
      <w:r w:rsidRPr="008431B5">
        <w:rPr>
          <w:rFonts w:ascii="Times New Roman" w:eastAsia="標楷體" w:hAnsi="標楷體" w:cs="Times New Roman"/>
          <w:kern w:val="0"/>
          <w:sz w:val="28"/>
          <w:szCs w:val="28"/>
        </w:rPr>
        <w:t>載具</w:t>
      </w:r>
      <w:r w:rsidR="0055277E" w:rsidRPr="008431B5">
        <w:rPr>
          <w:rFonts w:ascii="Times New Roman" w:eastAsia="標楷體" w:hAnsi="標楷體" w:cs="Times New Roman"/>
          <w:kern w:val="0"/>
          <w:sz w:val="28"/>
          <w:szCs w:val="28"/>
        </w:rPr>
        <w:t>之風險，亦即該債券之受償順位</w:t>
      </w:r>
      <w:proofErr w:type="gramStart"/>
      <w:r w:rsidR="0055277E" w:rsidRPr="008431B5">
        <w:rPr>
          <w:rFonts w:ascii="Times New Roman" w:eastAsia="標楷體" w:hAnsi="標楷體" w:cs="Times New Roman"/>
          <w:kern w:val="0"/>
          <w:sz w:val="28"/>
          <w:szCs w:val="28"/>
        </w:rPr>
        <w:t>將均劣於</w:t>
      </w:r>
      <w:proofErr w:type="gramEnd"/>
      <w:r w:rsidR="0055277E" w:rsidRPr="008431B5">
        <w:rPr>
          <w:rFonts w:ascii="Times New Roman" w:eastAsia="標楷體" w:hAnsi="標楷體" w:cs="Times New Roman"/>
          <w:kern w:val="0"/>
          <w:sz w:val="28"/>
          <w:szCs w:val="28"/>
        </w:rPr>
        <w:t>該發行者及聯屬公司其他</w:t>
      </w:r>
      <w:r w:rsidR="0055277E" w:rsidRPr="008431B5">
        <w:rPr>
          <w:rFonts w:ascii="Times New Roman" w:eastAsia="標楷體" w:hAnsi="標楷體" w:cs="Times New Roman"/>
          <w:kern w:val="0"/>
          <w:sz w:val="28"/>
          <w:szCs w:val="28"/>
        </w:rPr>
        <w:lastRenderedPageBreak/>
        <w:t>債權。</w:t>
      </w:r>
      <w:r w:rsidR="00CF4D01" w:rsidRPr="008431B5">
        <w:rPr>
          <w:rFonts w:ascii="Times New Roman" w:eastAsia="標楷體" w:hAnsi="Times New Roman" w:cs="Times New Roman"/>
          <w:spacing w:val="20"/>
          <w:kern w:val="0"/>
          <w:sz w:val="28"/>
          <w:szCs w:val="28"/>
          <w:lang w:val="en-GB"/>
        </w:rPr>
        <w:t>B</w:t>
      </w:r>
      <w:r w:rsidR="00CF4D01" w:rsidRPr="008431B5">
        <w:rPr>
          <w:rFonts w:ascii="Times New Roman" w:eastAsia="標楷體" w:hAnsi="標楷體" w:cs="Times New Roman"/>
          <w:spacing w:val="20"/>
          <w:kern w:val="0"/>
          <w:sz w:val="28"/>
          <w:szCs w:val="28"/>
          <w:lang w:val="en-GB"/>
        </w:rPr>
        <w:t>公司投資之零息債，在不考量該等債券自我救助條款之情況下，</w:t>
      </w:r>
      <w:r w:rsidR="00CF4D01" w:rsidRPr="008431B5">
        <w:rPr>
          <w:rFonts w:ascii="Times New Roman" w:eastAsia="標楷體" w:hAnsi="Times New Roman" w:cs="Times New Roman"/>
          <w:spacing w:val="20"/>
          <w:kern w:val="0"/>
          <w:sz w:val="28"/>
          <w:szCs w:val="28"/>
          <w:lang w:val="en-GB"/>
        </w:rPr>
        <w:t>B</w:t>
      </w:r>
      <w:r w:rsidR="00CF4D01" w:rsidRPr="008431B5">
        <w:rPr>
          <w:rFonts w:ascii="Times New Roman" w:eastAsia="標楷體" w:hAnsi="標楷體" w:cs="Times New Roman"/>
          <w:spacing w:val="20"/>
          <w:kern w:val="0"/>
          <w:sz w:val="28"/>
          <w:szCs w:val="28"/>
          <w:lang w:val="en-GB"/>
        </w:rPr>
        <w:t>公司評估符合</w:t>
      </w:r>
      <w:r w:rsidR="00CF4D01" w:rsidRPr="008431B5">
        <w:rPr>
          <w:rFonts w:ascii="Times New Roman" w:eastAsia="標楷體" w:hAnsi="Times New Roman" w:cs="Times New Roman"/>
          <w:spacing w:val="20"/>
          <w:kern w:val="0"/>
          <w:sz w:val="28"/>
          <w:szCs w:val="28"/>
          <w:lang w:val="en-GB"/>
        </w:rPr>
        <w:t>IFRS 9</w:t>
      </w:r>
      <w:r w:rsidR="00CF4D01" w:rsidRPr="008431B5">
        <w:rPr>
          <w:rFonts w:ascii="Times New Roman" w:eastAsia="標楷體" w:hAnsi="標楷體" w:cs="Times New Roman"/>
          <w:spacing w:val="20"/>
          <w:kern w:val="0"/>
          <w:sz w:val="28"/>
          <w:szCs w:val="28"/>
          <w:lang w:val="en-GB"/>
        </w:rPr>
        <w:t>第</w:t>
      </w:r>
      <w:r w:rsidR="00CF4D01" w:rsidRPr="008431B5">
        <w:rPr>
          <w:rFonts w:ascii="Times New Roman" w:eastAsia="標楷體" w:hAnsi="Times New Roman" w:cs="Times New Roman"/>
          <w:spacing w:val="20"/>
          <w:kern w:val="0"/>
          <w:sz w:val="28"/>
          <w:szCs w:val="28"/>
          <w:lang w:val="en-GB"/>
        </w:rPr>
        <w:t>4.1.2</w:t>
      </w:r>
      <w:r w:rsidR="00CF4D01" w:rsidRPr="008431B5">
        <w:rPr>
          <w:rFonts w:ascii="Times New Roman" w:eastAsia="標楷體" w:hAnsi="標楷體" w:cs="Times New Roman"/>
          <w:spacing w:val="20"/>
          <w:kern w:val="0"/>
          <w:sz w:val="28"/>
          <w:szCs w:val="28"/>
          <w:lang w:val="en-GB"/>
        </w:rPr>
        <w:t>段</w:t>
      </w:r>
      <w:r w:rsidR="00CF4D01" w:rsidRPr="008431B5">
        <w:rPr>
          <w:rFonts w:ascii="Times New Roman" w:eastAsia="標楷體" w:hAnsi="Times New Roman" w:cs="Times New Roman"/>
          <w:spacing w:val="20"/>
          <w:kern w:val="0"/>
          <w:sz w:val="28"/>
          <w:szCs w:val="28"/>
          <w:lang w:val="en-GB"/>
        </w:rPr>
        <w:t>(b)</w:t>
      </w:r>
      <w:r w:rsidR="00CF4D01" w:rsidRPr="008431B5">
        <w:rPr>
          <w:rFonts w:ascii="Times New Roman" w:eastAsia="標楷體" w:hAnsi="標楷體" w:cs="Times New Roman"/>
          <w:spacing w:val="20"/>
          <w:kern w:val="0"/>
          <w:sz w:val="28"/>
          <w:szCs w:val="28"/>
          <w:lang w:val="en-GB"/>
        </w:rPr>
        <w:t>及</w:t>
      </w:r>
      <w:r w:rsidR="00CF4D01" w:rsidRPr="008431B5">
        <w:rPr>
          <w:rFonts w:ascii="Times New Roman" w:eastAsia="標楷體" w:hAnsi="Times New Roman" w:cs="Times New Roman"/>
          <w:spacing w:val="20"/>
          <w:kern w:val="0"/>
          <w:sz w:val="28"/>
          <w:szCs w:val="28"/>
          <w:lang w:val="en-GB"/>
        </w:rPr>
        <w:t>4.1.2A</w:t>
      </w:r>
      <w:r w:rsidR="00CF4D01" w:rsidRPr="008431B5">
        <w:rPr>
          <w:rFonts w:ascii="Times New Roman" w:eastAsia="標楷體" w:hAnsi="標楷體" w:cs="Times New Roman"/>
          <w:spacing w:val="20"/>
          <w:kern w:val="0"/>
          <w:sz w:val="28"/>
          <w:szCs w:val="28"/>
          <w:lang w:val="en-GB"/>
        </w:rPr>
        <w:t>段</w:t>
      </w:r>
      <w:r w:rsidR="00CF4D01" w:rsidRPr="008431B5">
        <w:rPr>
          <w:rFonts w:ascii="Times New Roman" w:eastAsia="標楷體" w:hAnsi="Times New Roman" w:cs="Times New Roman"/>
          <w:spacing w:val="20"/>
          <w:kern w:val="0"/>
          <w:sz w:val="28"/>
          <w:szCs w:val="28"/>
          <w:lang w:val="en-GB"/>
        </w:rPr>
        <w:t>(b)</w:t>
      </w:r>
      <w:r w:rsidR="00B15621">
        <w:rPr>
          <w:rFonts w:ascii="Times New Roman" w:eastAsia="標楷體" w:hAnsi="標楷體" w:cs="Times New Roman"/>
          <w:spacing w:val="20"/>
          <w:kern w:val="0"/>
          <w:sz w:val="28"/>
          <w:szCs w:val="28"/>
          <w:lang w:val="en-GB"/>
        </w:rPr>
        <w:t>之現金流量特性</w:t>
      </w:r>
      <w:r w:rsidR="00B15621">
        <w:rPr>
          <w:rFonts w:ascii="Times New Roman" w:eastAsia="標楷體" w:hAnsi="標楷體" w:cs="Times New Roman" w:hint="eastAsia"/>
          <w:spacing w:val="20"/>
          <w:kern w:val="0"/>
          <w:sz w:val="28"/>
          <w:szCs w:val="28"/>
          <w:lang w:val="en-GB"/>
        </w:rPr>
        <w:t>(</w:t>
      </w:r>
      <w:r w:rsidR="00CF4D01" w:rsidRPr="008431B5">
        <w:rPr>
          <w:rFonts w:ascii="Times New Roman" w:eastAsia="標楷體" w:hAnsi="標楷體" w:cs="Times New Roman"/>
          <w:spacing w:val="20"/>
          <w:kern w:val="0"/>
          <w:sz w:val="28"/>
          <w:szCs w:val="28"/>
          <w:lang w:val="en-GB"/>
        </w:rPr>
        <w:t>即</w:t>
      </w:r>
      <w:r w:rsidR="00CF4D01" w:rsidRPr="008431B5">
        <w:rPr>
          <w:rFonts w:ascii="Times New Roman" w:eastAsia="標楷體" w:hAnsi="Times New Roman" w:cs="Times New Roman"/>
          <w:spacing w:val="20"/>
          <w:kern w:val="0"/>
          <w:sz w:val="28"/>
          <w:szCs w:val="28"/>
          <w:lang w:val="en-GB"/>
        </w:rPr>
        <w:t>SPPI)</w:t>
      </w:r>
      <w:r w:rsidR="00CF4D01" w:rsidRPr="008431B5">
        <w:rPr>
          <w:rFonts w:ascii="Times New Roman" w:eastAsia="標楷體" w:hAnsi="標楷體" w:cs="Times New Roman"/>
          <w:spacing w:val="20"/>
          <w:kern w:val="0"/>
          <w:sz w:val="28"/>
          <w:szCs w:val="28"/>
          <w:lang w:val="en-GB"/>
        </w:rPr>
        <w:t>，惟針對自我救助條款，只要該條款具真實性，即使此種強加損失之可能性甚低，合約現金流量不符合</w:t>
      </w:r>
      <w:r w:rsidR="00CF4D01" w:rsidRPr="008431B5">
        <w:rPr>
          <w:rFonts w:ascii="Times New Roman" w:eastAsia="標楷體" w:hAnsi="Times New Roman" w:cs="Times New Roman"/>
          <w:spacing w:val="20"/>
          <w:kern w:val="0"/>
          <w:sz w:val="28"/>
          <w:szCs w:val="28"/>
          <w:lang w:val="en-GB"/>
        </w:rPr>
        <w:t>SPPI</w:t>
      </w:r>
      <w:r w:rsidR="00CF4D01" w:rsidRPr="008431B5">
        <w:rPr>
          <w:rFonts w:ascii="Times New Roman" w:eastAsia="標楷體" w:hAnsi="標楷體" w:cs="Times New Roman"/>
          <w:spacing w:val="20"/>
          <w:kern w:val="0"/>
          <w:sz w:val="28"/>
          <w:szCs w:val="28"/>
          <w:lang w:val="en-GB"/>
        </w:rPr>
        <w:t>特性。除非前述之條款非屬合約條款，則於分析</w:t>
      </w:r>
      <w:r w:rsidR="00CF4D01" w:rsidRPr="008431B5">
        <w:rPr>
          <w:rFonts w:ascii="Times New Roman" w:eastAsia="標楷體" w:hAnsi="Times New Roman" w:cs="Times New Roman"/>
          <w:spacing w:val="20"/>
          <w:kern w:val="0"/>
          <w:sz w:val="28"/>
          <w:szCs w:val="28"/>
          <w:lang w:val="en-GB"/>
        </w:rPr>
        <w:t>SPPI</w:t>
      </w:r>
      <w:r w:rsidR="00CF4D01" w:rsidRPr="008431B5">
        <w:rPr>
          <w:rFonts w:ascii="Times New Roman" w:eastAsia="標楷體" w:hAnsi="標楷體" w:cs="Times New Roman"/>
          <w:spacing w:val="20"/>
          <w:kern w:val="0"/>
          <w:sz w:val="28"/>
          <w:szCs w:val="28"/>
          <w:lang w:val="en-GB"/>
        </w:rPr>
        <w:t>特性時不予考量</w:t>
      </w:r>
      <w:r w:rsidR="00CF4D01" w:rsidRPr="008431B5">
        <w:rPr>
          <w:rFonts w:ascii="Times New Roman" w:eastAsia="標楷體" w:hAnsi="Times New Roman" w:cs="Times New Roman"/>
          <w:spacing w:val="20"/>
          <w:kern w:val="0"/>
          <w:sz w:val="28"/>
          <w:szCs w:val="28"/>
          <w:lang w:val="en-GB"/>
        </w:rPr>
        <w:t>(</w:t>
      </w:r>
      <w:r w:rsidR="00CF4D01" w:rsidRPr="008431B5">
        <w:rPr>
          <w:rFonts w:ascii="Times New Roman" w:eastAsia="標楷體" w:hAnsi="標楷體" w:cs="Times New Roman"/>
          <w:spacing w:val="20"/>
          <w:kern w:val="0"/>
          <w:sz w:val="28"/>
          <w:szCs w:val="28"/>
          <w:lang w:val="en-GB"/>
        </w:rPr>
        <w:t>參考</w:t>
      </w:r>
      <w:r w:rsidR="00CF4D01" w:rsidRPr="008431B5">
        <w:rPr>
          <w:rFonts w:ascii="Times New Roman" w:eastAsia="標楷體" w:hAnsi="Times New Roman" w:cs="Times New Roman"/>
          <w:spacing w:val="20"/>
          <w:kern w:val="0"/>
          <w:sz w:val="28"/>
          <w:szCs w:val="28"/>
          <w:lang w:val="en-GB"/>
        </w:rPr>
        <w:t>IFRS 9</w:t>
      </w:r>
      <w:r w:rsidR="00CF4D01" w:rsidRPr="008431B5">
        <w:rPr>
          <w:rFonts w:ascii="Times New Roman" w:eastAsia="標楷體" w:hAnsi="標楷體" w:cs="Times New Roman"/>
          <w:spacing w:val="20"/>
          <w:kern w:val="0"/>
          <w:sz w:val="28"/>
          <w:szCs w:val="28"/>
          <w:lang w:val="en-GB"/>
        </w:rPr>
        <w:t>第</w:t>
      </w:r>
      <w:r w:rsidR="00CF4D01" w:rsidRPr="008431B5">
        <w:rPr>
          <w:rFonts w:ascii="Times New Roman" w:eastAsia="標楷體" w:hAnsi="Times New Roman" w:cs="Times New Roman"/>
          <w:spacing w:val="20"/>
          <w:kern w:val="0"/>
          <w:sz w:val="28"/>
          <w:szCs w:val="28"/>
          <w:lang w:val="en-GB"/>
        </w:rPr>
        <w:t>B4.1.13</w:t>
      </w:r>
      <w:r w:rsidR="00CF4D01" w:rsidRPr="008431B5">
        <w:rPr>
          <w:rFonts w:ascii="Times New Roman" w:eastAsia="標楷體" w:hAnsi="標楷體" w:cs="Times New Roman"/>
          <w:spacing w:val="20"/>
          <w:kern w:val="0"/>
          <w:sz w:val="28"/>
          <w:szCs w:val="28"/>
          <w:lang w:val="en-GB"/>
        </w:rPr>
        <w:t>段</w:t>
      </w:r>
      <w:r w:rsidR="00CF4D01" w:rsidRPr="008431B5">
        <w:rPr>
          <w:rFonts w:ascii="Times New Roman" w:eastAsia="標楷體" w:hAnsi="Times New Roman" w:cs="Times New Roman"/>
          <w:spacing w:val="20"/>
          <w:kern w:val="0"/>
          <w:sz w:val="28"/>
          <w:szCs w:val="28"/>
          <w:lang w:val="en-GB"/>
        </w:rPr>
        <w:t>E</w:t>
      </w:r>
      <w:r w:rsidR="00CF4D01" w:rsidRPr="008431B5">
        <w:rPr>
          <w:rFonts w:ascii="Times New Roman" w:eastAsia="標楷體" w:hAnsi="標楷體" w:cs="Times New Roman"/>
          <w:spacing w:val="20"/>
          <w:kern w:val="0"/>
          <w:sz w:val="28"/>
          <w:szCs w:val="28"/>
          <w:lang w:val="en-GB"/>
        </w:rPr>
        <w:t>工具</w:t>
      </w:r>
      <w:r w:rsidR="00CF4D01" w:rsidRPr="008431B5">
        <w:rPr>
          <w:rFonts w:ascii="Times New Roman" w:eastAsia="標楷體" w:hAnsi="Times New Roman" w:cs="Times New Roman"/>
          <w:spacing w:val="20"/>
          <w:kern w:val="0"/>
          <w:sz w:val="28"/>
          <w:szCs w:val="28"/>
          <w:lang w:val="en-GB"/>
        </w:rPr>
        <w:t>)</w:t>
      </w:r>
      <w:r w:rsidR="00CF4D01" w:rsidRPr="008431B5">
        <w:rPr>
          <w:rFonts w:ascii="Times New Roman" w:eastAsia="標楷體" w:hAnsi="標楷體" w:cs="Times New Roman"/>
          <w:spacing w:val="20"/>
          <w:kern w:val="0"/>
          <w:sz w:val="28"/>
          <w:szCs w:val="28"/>
          <w:lang w:val="en-GB"/>
        </w:rPr>
        <w:t>。</w:t>
      </w:r>
      <w:r w:rsidR="00501465" w:rsidRPr="008431B5">
        <w:rPr>
          <w:rFonts w:ascii="Times New Roman" w:eastAsia="標楷體" w:hAnsi="標楷體" w:cs="Times New Roman"/>
          <w:spacing w:val="20"/>
          <w:kern w:val="0"/>
          <w:sz w:val="28"/>
          <w:szCs w:val="28"/>
          <w:lang w:val="en-GB"/>
        </w:rPr>
        <w:t>至於</w:t>
      </w:r>
      <w:r w:rsidR="00CF4D01" w:rsidRPr="008431B5">
        <w:rPr>
          <w:rFonts w:ascii="Times New Roman" w:eastAsia="標楷體" w:hAnsi="標楷體" w:cs="Times New Roman"/>
          <w:spacing w:val="20"/>
          <w:kern w:val="0"/>
          <w:sz w:val="28"/>
          <w:szCs w:val="28"/>
          <w:lang w:val="en-GB"/>
        </w:rPr>
        <w:t>是否屬</w:t>
      </w:r>
      <w:r w:rsidR="00501465" w:rsidRPr="008431B5">
        <w:rPr>
          <w:rFonts w:ascii="Times New Roman" w:eastAsia="標楷體" w:hAnsi="標楷體" w:cs="Times New Roman"/>
          <w:spacing w:val="20"/>
          <w:kern w:val="0"/>
          <w:sz w:val="28"/>
          <w:szCs w:val="28"/>
          <w:lang w:val="en-GB"/>
        </w:rPr>
        <w:t>合約條款，</w:t>
      </w:r>
      <w:r w:rsidR="00501465" w:rsidRPr="008431B5">
        <w:rPr>
          <w:rFonts w:ascii="Times New Roman" w:eastAsia="標楷體" w:hAnsi="Times New Roman" w:cs="Times New Roman"/>
          <w:spacing w:val="20"/>
          <w:kern w:val="0"/>
          <w:sz w:val="28"/>
          <w:szCs w:val="28"/>
          <w:lang w:val="en-GB"/>
        </w:rPr>
        <w:t>B</w:t>
      </w:r>
      <w:r w:rsidR="00501465" w:rsidRPr="008431B5">
        <w:rPr>
          <w:rFonts w:ascii="Times New Roman" w:eastAsia="標楷體" w:hAnsi="標楷體" w:cs="Times New Roman"/>
          <w:spacing w:val="20"/>
          <w:kern w:val="0"/>
          <w:sz w:val="28"/>
          <w:szCs w:val="28"/>
          <w:lang w:val="en-GB"/>
        </w:rPr>
        <w:t>公司應評估該條款是否僅係承認法令之存在而未於發行者與債券持有者間產生額外權利義務，</w:t>
      </w:r>
      <w:r w:rsidR="00CC03B5">
        <w:rPr>
          <w:rFonts w:ascii="Times New Roman" w:eastAsia="標楷體" w:hAnsi="標楷體" w:cs="Times New Roman" w:hint="eastAsia"/>
          <w:spacing w:val="20"/>
          <w:kern w:val="0"/>
          <w:sz w:val="28"/>
          <w:szCs w:val="28"/>
          <w:lang w:val="en-GB"/>
        </w:rPr>
        <w:t>須</w:t>
      </w:r>
      <w:r w:rsidR="008431B5" w:rsidRPr="008431B5">
        <w:rPr>
          <w:rFonts w:ascii="Times New Roman" w:eastAsia="標楷體" w:hAnsi="標楷體" w:cs="Times New Roman"/>
          <w:spacing w:val="20"/>
          <w:kern w:val="0"/>
          <w:sz w:val="28"/>
          <w:szCs w:val="28"/>
          <w:lang w:val="en-GB"/>
        </w:rPr>
        <w:t>考量因素</w:t>
      </w:r>
      <w:r w:rsidR="00CC03B5">
        <w:rPr>
          <w:rFonts w:ascii="Times New Roman" w:eastAsia="標楷體" w:hAnsi="標楷體" w:cs="Times New Roman" w:hint="eastAsia"/>
          <w:spacing w:val="20"/>
          <w:kern w:val="0"/>
          <w:sz w:val="28"/>
          <w:szCs w:val="28"/>
          <w:lang w:val="en-GB"/>
        </w:rPr>
        <w:t>至少應</w:t>
      </w:r>
      <w:r w:rsidR="008431B5" w:rsidRPr="008431B5">
        <w:rPr>
          <w:rFonts w:ascii="Times New Roman" w:eastAsia="標楷體" w:hAnsi="標楷體" w:cs="Times New Roman"/>
          <w:spacing w:val="20"/>
          <w:kern w:val="0"/>
          <w:sz w:val="28"/>
          <w:szCs w:val="28"/>
          <w:lang w:val="en-GB"/>
        </w:rPr>
        <w:t>包括所引述之法律對於自我救助條款觸及之條件與效果是否清楚以及當該法令有變動時對該金融工具產生之影響。</w:t>
      </w:r>
      <w:r w:rsidR="00501465" w:rsidRPr="008431B5">
        <w:rPr>
          <w:rFonts w:ascii="Times New Roman" w:eastAsia="標楷體" w:hAnsi="Times New Roman" w:cs="Times New Roman"/>
          <w:kern w:val="0"/>
          <w:sz w:val="28"/>
          <w:szCs w:val="28"/>
        </w:rPr>
        <w:t xml:space="preserve"> </w:t>
      </w:r>
    </w:p>
    <w:p w:rsidR="005E6485" w:rsidRPr="008431B5" w:rsidRDefault="005E6485" w:rsidP="00000483">
      <w:pPr>
        <w:autoSpaceDE w:val="0"/>
        <w:autoSpaceDN w:val="0"/>
        <w:adjustRightInd w:val="0"/>
        <w:rPr>
          <w:rFonts w:ascii="Times New Roman" w:eastAsia="標楷體" w:hAnsi="Times New Roman" w:cs="Times New Roman"/>
          <w:kern w:val="0"/>
          <w:sz w:val="28"/>
          <w:szCs w:val="28"/>
        </w:rPr>
      </w:pPr>
      <w:r w:rsidRPr="008431B5">
        <w:rPr>
          <w:rFonts w:ascii="Times New Roman" w:eastAsia="標楷體" w:hAnsi="Times New Roman" w:cs="Times New Roman"/>
          <w:kern w:val="0"/>
          <w:sz w:val="28"/>
          <w:szCs w:val="28"/>
        </w:rPr>
        <w:t xml:space="preserve">   </w:t>
      </w:r>
    </w:p>
    <w:p w:rsidR="000977E4" w:rsidRPr="00CE60AD" w:rsidRDefault="00B77A93" w:rsidP="00B77A93">
      <w:pPr>
        <w:spacing w:line="500" w:lineRule="exact"/>
        <w:rPr>
          <w:rFonts w:ascii="Times New Roman" w:eastAsia="標楷體" w:hAnsi="Times New Roman" w:cs="Times New Roman"/>
          <w:sz w:val="28"/>
          <w:szCs w:val="28"/>
        </w:rPr>
      </w:pPr>
      <w:proofErr w:type="gramStart"/>
      <w:r w:rsidRPr="00CE60AD">
        <w:rPr>
          <w:rFonts w:ascii="Times New Roman" w:eastAsia="標楷體" w:hAnsi="Times New Roman" w:cs="Times New Roman" w:hint="eastAsia"/>
          <w:sz w:val="28"/>
          <w:szCs w:val="28"/>
        </w:rPr>
        <w:t>釋例</w:t>
      </w:r>
      <w:proofErr w:type="gramEnd"/>
      <w:r w:rsidR="00AF4C21">
        <w:rPr>
          <w:rFonts w:ascii="Times New Roman" w:eastAsia="標楷體" w:hAnsi="Times New Roman" w:cs="Times New Roman" w:hint="eastAsia"/>
          <w:sz w:val="28"/>
          <w:szCs w:val="28"/>
        </w:rPr>
        <w:t>2</w:t>
      </w:r>
      <w:r w:rsidRPr="00CE60AD">
        <w:rPr>
          <w:rFonts w:ascii="Times New Roman" w:eastAsia="標楷體" w:hAnsi="Times New Roman" w:cs="Times New Roman" w:hint="eastAsia"/>
          <w:sz w:val="28"/>
          <w:szCs w:val="28"/>
        </w:rPr>
        <w:t xml:space="preserve">: </w:t>
      </w:r>
      <w:r w:rsidRPr="00CE60AD">
        <w:rPr>
          <w:rFonts w:ascii="Times New Roman" w:eastAsia="標楷體" w:hAnsi="Times New Roman" w:cs="Times New Roman" w:hint="eastAsia"/>
          <w:sz w:val="28"/>
          <w:szCs w:val="28"/>
        </w:rPr>
        <w:t>合約連結工具</w:t>
      </w:r>
    </w:p>
    <w:p w:rsidR="003B17F5" w:rsidRPr="00E12487" w:rsidRDefault="00B77A93" w:rsidP="00B77A93">
      <w:pPr>
        <w:spacing w:line="500" w:lineRule="exact"/>
        <w:rPr>
          <w:rFonts w:ascii="Times New Roman" w:eastAsia="標楷體" w:hAnsi="Times New Roman" w:cs="Times New Roman"/>
          <w:kern w:val="0"/>
          <w:sz w:val="28"/>
          <w:szCs w:val="28"/>
        </w:rPr>
      </w:pPr>
      <w:r>
        <w:rPr>
          <w:rFonts w:ascii="標楷體" w:eastAsia="標楷體" w:hAnsi="標楷體" w:cs="T3Font_4" w:hint="eastAsia"/>
          <w:b/>
          <w:kern w:val="0"/>
          <w:sz w:val="28"/>
          <w:szCs w:val="28"/>
        </w:rPr>
        <w:t xml:space="preserve"> </w:t>
      </w:r>
      <w:r w:rsidRPr="00E12487">
        <w:rPr>
          <w:rFonts w:ascii="Times New Roman" w:eastAsia="標楷體" w:hAnsi="Times New Roman" w:cs="Times New Roman"/>
          <w:b/>
          <w:kern w:val="0"/>
          <w:sz w:val="28"/>
          <w:szCs w:val="28"/>
        </w:rPr>
        <w:t xml:space="preserve"> </w:t>
      </w:r>
      <w:r w:rsidRPr="00E12487">
        <w:rPr>
          <w:rFonts w:ascii="Times New Roman" w:eastAsia="標楷體" w:hAnsi="Times New Roman" w:cs="Times New Roman"/>
          <w:kern w:val="0"/>
          <w:sz w:val="28"/>
          <w:szCs w:val="28"/>
        </w:rPr>
        <w:t>C</w:t>
      </w:r>
      <w:r w:rsidRPr="00E12487">
        <w:rPr>
          <w:rFonts w:ascii="Times New Roman" w:eastAsia="標楷體" w:hAnsi="Times New Roman" w:cs="Times New Roman"/>
          <w:kern w:val="0"/>
          <w:sz w:val="28"/>
          <w:szCs w:val="28"/>
        </w:rPr>
        <w:t>公司投資固定付息之合成型擔保債務憑證</w:t>
      </w:r>
      <w:r w:rsidRPr="00E12487">
        <w:rPr>
          <w:rFonts w:ascii="Times New Roman" w:eastAsia="標楷體" w:hAnsi="Times New Roman" w:cs="Times New Roman"/>
          <w:kern w:val="0"/>
          <w:sz w:val="28"/>
          <w:szCs w:val="28"/>
        </w:rPr>
        <w:t>(CDO)</w:t>
      </w:r>
      <w:r w:rsidRPr="00E12487">
        <w:rPr>
          <w:rFonts w:ascii="Times New Roman" w:eastAsia="標楷體" w:hAnsi="Times New Roman" w:cs="Times New Roman"/>
          <w:kern w:val="0"/>
          <w:sz w:val="28"/>
          <w:szCs w:val="28"/>
        </w:rPr>
        <w:t>分級證券，該分級證券發行之特殊目的個體通常</w:t>
      </w:r>
      <w:proofErr w:type="gramStart"/>
      <w:r w:rsidRPr="00E12487">
        <w:rPr>
          <w:rFonts w:ascii="Times New Roman" w:eastAsia="標楷體" w:hAnsi="Times New Roman" w:cs="Times New Roman"/>
          <w:kern w:val="0"/>
          <w:sz w:val="28"/>
          <w:szCs w:val="28"/>
        </w:rPr>
        <w:t>投資高評等</w:t>
      </w:r>
      <w:proofErr w:type="gramEnd"/>
      <w:r w:rsidRPr="00E12487">
        <w:rPr>
          <w:rFonts w:ascii="Times New Roman" w:eastAsia="標楷體" w:hAnsi="Times New Roman" w:cs="Times New Roman"/>
          <w:kern w:val="0"/>
          <w:sz w:val="28"/>
          <w:szCs w:val="28"/>
        </w:rPr>
        <w:t>的債券</w:t>
      </w:r>
      <w:r w:rsidRPr="00E12487">
        <w:rPr>
          <w:rFonts w:ascii="Times New Roman" w:eastAsia="標楷體" w:hAnsi="Times New Roman" w:cs="Times New Roman"/>
          <w:kern w:val="0"/>
          <w:sz w:val="28"/>
          <w:szCs w:val="28"/>
        </w:rPr>
        <w:t>(</w:t>
      </w:r>
      <w:r w:rsidRPr="00E12487">
        <w:rPr>
          <w:rFonts w:ascii="Times New Roman" w:eastAsia="標楷體" w:hAnsi="Times New Roman" w:cs="Times New Roman"/>
          <w:kern w:val="0"/>
          <w:sz w:val="28"/>
          <w:szCs w:val="28"/>
        </w:rPr>
        <w:t>例如政府公債</w:t>
      </w:r>
      <w:r w:rsidRPr="00E12487">
        <w:rPr>
          <w:rFonts w:ascii="Times New Roman" w:eastAsia="標楷體" w:hAnsi="Times New Roman" w:cs="Times New Roman"/>
          <w:kern w:val="0"/>
          <w:sz w:val="28"/>
          <w:szCs w:val="28"/>
        </w:rPr>
        <w:t>)</w:t>
      </w:r>
      <w:r w:rsidRPr="00E12487">
        <w:rPr>
          <w:rFonts w:ascii="Times New Roman" w:eastAsia="標楷體" w:hAnsi="Times New Roman" w:cs="Times New Roman"/>
          <w:kern w:val="0"/>
          <w:sz w:val="28"/>
          <w:szCs w:val="28"/>
        </w:rPr>
        <w:t>，但同時也發行連結特定公司債之信用違約交換以收取收入，</w:t>
      </w:r>
      <w:r w:rsidR="00154151" w:rsidRPr="00E12487">
        <w:rPr>
          <w:rFonts w:ascii="Times New Roman" w:eastAsia="標楷體" w:hAnsi="Times New Roman" w:cs="Times New Roman"/>
          <w:sz w:val="28"/>
          <w:szCs w:val="28"/>
        </w:rPr>
        <w:t>C</w:t>
      </w:r>
      <w:r w:rsidR="00154151" w:rsidRPr="00E12487">
        <w:rPr>
          <w:rFonts w:ascii="Times New Roman" w:eastAsia="標楷體" w:hAnsi="Times New Roman" w:cs="Times New Roman"/>
          <w:sz w:val="28"/>
          <w:szCs w:val="28"/>
        </w:rPr>
        <w:t>公司</w:t>
      </w:r>
      <w:r w:rsidR="003B17F5" w:rsidRPr="00E12487">
        <w:rPr>
          <w:rFonts w:ascii="Times New Roman" w:eastAsia="標楷體" w:hAnsi="Times New Roman" w:cs="Times New Roman"/>
          <w:sz w:val="28"/>
          <w:szCs w:val="28"/>
        </w:rPr>
        <w:t>依</w:t>
      </w:r>
      <w:r w:rsidR="003B17F5" w:rsidRPr="00E12487">
        <w:rPr>
          <w:rFonts w:ascii="Times New Roman" w:eastAsia="標楷體" w:hAnsi="Times New Roman" w:cs="Times New Roman"/>
          <w:sz w:val="28"/>
          <w:szCs w:val="28"/>
        </w:rPr>
        <w:t>IFRS 9. B4.1.20-B4.1.26</w:t>
      </w:r>
      <w:r w:rsidR="003B17F5" w:rsidRPr="00E12487">
        <w:rPr>
          <w:rFonts w:ascii="Times New Roman" w:eastAsia="標楷體" w:hAnsi="Times New Roman" w:cs="Times New Roman"/>
          <w:sz w:val="28"/>
          <w:szCs w:val="28"/>
        </w:rPr>
        <w:t>之各項條件判斷是否符合</w:t>
      </w:r>
      <w:r w:rsidR="003B17F5" w:rsidRPr="00E12487">
        <w:rPr>
          <w:rFonts w:ascii="Times New Roman" w:eastAsia="標楷體" w:hAnsi="Times New Roman" w:cs="Times New Roman"/>
          <w:sz w:val="28"/>
          <w:szCs w:val="28"/>
        </w:rPr>
        <w:t>SPPI</w:t>
      </w:r>
      <w:r w:rsidR="003B17F5" w:rsidRPr="00E12487">
        <w:rPr>
          <w:rFonts w:ascii="Times New Roman" w:eastAsia="標楷體" w:hAnsi="Times New Roman" w:cs="Times New Roman"/>
          <w:sz w:val="28"/>
          <w:szCs w:val="28"/>
        </w:rPr>
        <w:t>。經評估，</w:t>
      </w:r>
      <w:r w:rsidR="003B17F5" w:rsidRPr="00E12487">
        <w:rPr>
          <w:rFonts w:ascii="Times New Roman" w:eastAsia="標楷體" w:hAnsi="標楷體" w:cs="Times New Roman"/>
          <w:sz w:val="28"/>
          <w:szCs w:val="28"/>
        </w:rPr>
        <w:t>雖然此分級證券外觀之合約條款具有</w:t>
      </w:r>
      <w:r w:rsidR="00E757D7">
        <w:rPr>
          <w:rFonts w:ascii="Times New Roman" w:eastAsia="標楷體" w:hAnsi="標楷體" w:cs="Times New Roman" w:hint="eastAsia"/>
          <w:kern w:val="0"/>
          <w:sz w:val="28"/>
          <w:szCs w:val="28"/>
        </w:rPr>
        <w:t>SPPI</w:t>
      </w:r>
      <w:r w:rsidR="003B17F5" w:rsidRPr="00E12487">
        <w:rPr>
          <w:rFonts w:ascii="Times New Roman" w:eastAsia="標楷體" w:hAnsi="標楷體" w:cs="Times New Roman"/>
          <w:kern w:val="0"/>
          <w:sz w:val="28"/>
          <w:szCs w:val="28"/>
        </w:rPr>
        <w:t>之特性</w:t>
      </w:r>
      <w:r w:rsidR="003B17F5" w:rsidRPr="00E12487">
        <w:rPr>
          <w:rFonts w:ascii="Times New Roman" w:eastAsia="標楷體" w:hAnsi="Times New Roman" w:cs="Times New Roman"/>
          <w:kern w:val="0"/>
          <w:sz w:val="28"/>
          <w:szCs w:val="28"/>
        </w:rPr>
        <w:t>(</w:t>
      </w:r>
      <w:r w:rsidR="003B17F5" w:rsidRPr="00E12487">
        <w:rPr>
          <w:rFonts w:ascii="Times New Roman" w:eastAsia="標楷體" w:hAnsi="標楷體" w:cs="Times New Roman"/>
          <w:kern w:val="0"/>
          <w:sz w:val="28"/>
          <w:szCs w:val="28"/>
        </w:rPr>
        <w:t>固定利息及本金</w:t>
      </w:r>
      <w:r w:rsidR="003B17F5" w:rsidRPr="00E12487">
        <w:rPr>
          <w:rFonts w:ascii="Times New Roman" w:eastAsia="標楷體" w:hAnsi="Times New Roman" w:cs="Times New Roman"/>
          <w:kern w:val="0"/>
          <w:sz w:val="28"/>
          <w:szCs w:val="28"/>
        </w:rPr>
        <w:t>)</w:t>
      </w:r>
      <w:r w:rsidR="00E757D7">
        <w:rPr>
          <w:rFonts w:ascii="Times New Roman" w:eastAsia="標楷體" w:hAnsi="標楷體" w:cs="Times New Roman"/>
          <w:kern w:val="0"/>
          <w:sz w:val="28"/>
          <w:szCs w:val="28"/>
        </w:rPr>
        <w:t>、資產池內包含政府債券</w:t>
      </w:r>
      <w:r w:rsidR="00E757D7">
        <w:rPr>
          <w:rFonts w:ascii="Times New Roman" w:eastAsia="標楷體" w:hAnsi="標楷體" w:cs="Times New Roman" w:hint="eastAsia"/>
          <w:kern w:val="0"/>
          <w:sz w:val="28"/>
          <w:szCs w:val="28"/>
        </w:rPr>
        <w:t>(</w:t>
      </w:r>
      <w:r w:rsidR="003B17F5" w:rsidRPr="00E12487">
        <w:rPr>
          <w:rFonts w:ascii="Times New Roman" w:eastAsia="標楷體" w:hAnsi="標楷體" w:cs="Times New Roman"/>
          <w:kern w:val="0"/>
          <w:sz w:val="28"/>
          <w:szCs w:val="28"/>
        </w:rPr>
        <w:t>其合約現金流量亦</w:t>
      </w:r>
      <w:r w:rsidR="00E757D7">
        <w:rPr>
          <w:rFonts w:ascii="Times New Roman" w:eastAsia="標楷體" w:hAnsi="標楷體" w:cs="Times New Roman" w:hint="eastAsia"/>
          <w:kern w:val="0"/>
          <w:sz w:val="28"/>
          <w:szCs w:val="28"/>
        </w:rPr>
        <w:t>符合</w:t>
      </w:r>
      <w:r w:rsidR="00E757D7">
        <w:rPr>
          <w:rFonts w:ascii="Times New Roman" w:eastAsia="標楷體" w:hAnsi="標楷體" w:cs="Times New Roman" w:hint="eastAsia"/>
          <w:kern w:val="0"/>
          <w:sz w:val="28"/>
          <w:szCs w:val="28"/>
        </w:rPr>
        <w:t>SPPI)</w:t>
      </w:r>
      <w:r w:rsidR="00E757D7">
        <w:rPr>
          <w:rFonts w:ascii="Times New Roman" w:eastAsia="標楷體" w:hAnsi="標楷體" w:cs="Times New Roman" w:hint="eastAsia"/>
          <w:kern w:val="0"/>
          <w:sz w:val="28"/>
          <w:szCs w:val="28"/>
        </w:rPr>
        <w:t>且</w:t>
      </w:r>
      <w:r w:rsidR="003B17F5" w:rsidRPr="00E12487">
        <w:rPr>
          <w:rFonts w:ascii="Times New Roman" w:eastAsia="標楷體" w:hAnsi="Times New Roman" w:cs="Times New Roman"/>
          <w:kern w:val="0"/>
          <w:sz w:val="28"/>
          <w:szCs w:val="28"/>
        </w:rPr>
        <w:t>C</w:t>
      </w:r>
      <w:r w:rsidR="003B17F5" w:rsidRPr="00E12487">
        <w:rPr>
          <w:rFonts w:ascii="Times New Roman" w:eastAsia="標楷體" w:hAnsi="標楷體" w:cs="Times New Roman"/>
          <w:kern w:val="0"/>
          <w:sz w:val="28"/>
          <w:szCs w:val="28"/>
        </w:rPr>
        <w:t>公司可以深入檢視了解資產池之資產，惟當中除債券外也包含了信用違約交換之衍生</w:t>
      </w:r>
      <w:r w:rsidR="00B46EE6">
        <w:rPr>
          <w:rFonts w:ascii="Times New Roman" w:eastAsia="標楷體" w:hAnsi="標楷體" w:cs="Times New Roman" w:hint="eastAsia"/>
          <w:kern w:val="0"/>
          <w:sz w:val="28"/>
          <w:szCs w:val="28"/>
        </w:rPr>
        <w:t>工具</w:t>
      </w:r>
      <w:r w:rsidR="003B17F5" w:rsidRPr="00E12487">
        <w:rPr>
          <w:rFonts w:ascii="Times New Roman" w:eastAsia="標楷體" w:hAnsi="標楷體" w:cs="Times New Roman"/>
          <w:kern w:val="0"/>
          <w:sz w:val="28"/>
          <w:szCs w:val="28"/>
        </w:rPr>
        <w:t>。</w:t>
      </w:r>
      <w:r w:rsidR="003B17F5" w:rsidRPr="00E12487">
        <w:rPr>
          <w:rFonts w:ascii="Times New Roman" w:eastAsia="標楷體" w:hAnsi="Times New Roman" w:cs="Times New Roman"/>
          <w:kern w:val="0"/>
          <w:sz w:val="28"/>
          <w:szCs w:val="28"/>
        </w:rPr>
        <w:t>C</w:t>
      </w:r>
      <w:r w:rsidR="003B17F5" w:rsidRPr="00E12487">
        <w:rPr>
          <w:rFonts w:ascii="Times New Roman" w:eastAsia="標楷體" w:hAnsi="標楷體" w:cs="Times New Roman"/>
          <w:kern w:val="0"/>
          <w:sz w:val="28"/>
          <w:szCs w:val="28"/>
        </w:rPr>
        <w:t>公司另進一步針對此衍生</w:t>
      </w:r>
      <w:r w:rsidR="00B46EE6">
        <w:rPr>
          <w:rFonts w:ascii="Times New Roman" w:eastAsia="標楷體" w:hAnsi="標楷體" w:cs="Times New Roman" w:hint="eastAsia"/>
          <w:kern w:val="0"/>
          <w:sz w:val="28"/>
          <w:szCs w:val="28"/>
        </w:rPr>
        <w:t>工具</w:t>
      </w:r>
      <w:r w:rsidR="003B17F5" w:rsidRPr="00E12487">
        <w:rPr>
          <w:rFonts w:ascii="Times New Roman" w:eastAsia="標楷體" w:hAnsi="標楷體" w:cs="Times New Roman"/>
          <w:kern w:val="0"/>
          <w:sz w:val="28"/>
          <w:szCs w:val="28"/>
        </w:rPr>
        <w:t>分析，由於此信用違約</w:t>
      </w:r>
      <w:proofErr w:type="gramStart"/>
      <w:r w:rsidR="003B17F5" w:rsidRPr="00E12487">
        <w:rPr>
          <w:rFonts w:ascii="Times New Roman" w:eastAsia="標楷體" w:hAnsi="標楷體" w:cs="Times New Roman"/>
          <w:kern w:val="0"/>
          <w:sz w:val="28"/>
          <w:szCs w:val="28"/>
        </w:rPr>
        <w:t>交換暨非減少</w:t>
      </w:r>
      <w:proofErr w:type="gramEnd"/>
      <w:r w:rsidR="003B17F5" w:rsidRPr="00E12487">
        <w:rPr>
          <w:rFonts w:ascii="Times New Roman" w:eastAsia="標楷體" w:hAnsi="標楷體" w:cs="Times New Roman"/>
          <w:kern w:val="0"/>
          <w:sz w:val="28"/>
          <w:szCs w:val="28"/>
        </w:rPr>
        <w:t>資產池內其他債券現金流量之變異性也非用以調和資產池內之現金流量，使之趨近於完全為支付本金及流通在外本金金額利息之情形，因是</w:t>
      </w:r>
      <w:r w:rsidR="00B46EE6">
        <w:rPr>
          <w:rFonts w:ascii="Times New Roman" w:eastAsia="標楷體" w:hAnsi="標楷體" w:cs="Times New Roman" w:hint="eastAsia"/>
          <w:kern w:val="0"/>
          <w:sz w:val="28"/>
          <w:szCs w:val="28"/>
        </w:rPr>
        <w:t>C</w:t>
      </w:r>
      <w:r w:rsidR="00B46EE6">
        <w:rPr>
          <w:rFonts w:ascii="Times New Roman" w:eastAsia="標楷體" w:hAnsi="標楷體" w:cs="Times New Roman" w:hint="eastAsia"/>
          <w:kern w:val="0"/>
          <w:sz w:val="28"/>
          <w:szCs w:val="28"/>
        </w:rPr>
        <w:t>公司所持有之</w:t>
      </w:r>
      <w:r w:rsidR="00B46EE6">
        <w:rPr>
          <w:rFonts w:ascii="Times New Roman" w:eastAsia="標楷體" w:hAnsi="標楷體" w:cs="Times New Roman" w:hint="eastAsia"/>
          <w:kern w:val="0"/>
          <w:sz w:val="28"/>
          <w:szCs w:val="28"/>
        </w:rPr>
        <w:t>CDO</w:t>
      </w:r>
      <w:r w:rsidR="003B17F5" w:rsidRPr="00E12487">
        <w:rPr>
          <w:rFonts w:ascii="Times New Roman" w:eastAsia="標楷體" w:hAnsi="標楷體" w:cs="Times New Roman"/>
          <w:kern w:val="0"/>
          <w:sz w:val="28"/>
          <w:szCs w:val="28"/>
        </w:rPr>
        <w:t>並無法通過現金流量完全為支付本金及流通在外本金金額之利息條件。</w:t>
      </w:r>
    </w:p>
    <w:p w:rsidR="003B17F5" w:rsidRPr="00E12487" w:rsidRDefault="003B17F5" w:rsidP="00B77A93">
      <w:pPr>
        <w:spacing w:line="500" w:lineRule="exact"/>
        <w:rPr>
          <w:rFonts w:ascii="Times New Roman" w:eastAsia="標楷體" w:hAnsi="Times New Roman" w:cs="Times New Roman"/>
          <w:sz w:val="28"/>
          <w:szCs w:val="28"/>
        </w:rPr>
      </w:pPr>
    </w:p>
    <w:p w:rsidR="00853DC3" w:rsidRDefault="00853DC3" w:rsidP="00CC03B5">
      <w:pPr>
        <w:pStyle w:val="a7"/>
        <w:numPr>
          <w:ilvl w:val="0"/>
          <w:numId w:val="4"/>
        </w:numPr>
        <w:spacing w:line="500" w:lineRule="exact"/>
        <w:ind w:leftChars="0"/>
        <w:rPr>
          <w:rFonts w:ascii="標楷體" w:eastAsia="標楷體" w:hAnsi="標楷體"/>
          <w:b/>
          <w:sz w:val="32"/>
          <w:szCs w:val="32"/>
        </w:rPr>
      </w:pPr>
      <w:r w:rsidRPr="00CC03B5">
        <w:rPr>
          <w:rFonts w:ascii="標楷體" w:eastAsia="標楷體" w:hAnsi="標楷體" w:hint="eastAsia"/>
          <w:b/>
          <w:sz w:val="32"/>
          <w:szCs w:val="32"/>
        </w:rPr>
        <w:t>結論及實務提醒事項</w:t>
      </w:r>
    </w:p>
    <w:p w:rsidR="00CC03B5" w:rsidRDefault="00925F92" w:rsidP="00925F92">
      <w:pPr>
        <w:spacing w:line="500" w:lineRule="exact"/>
        <w:rPr>
          <w:rFonts w:ascii="Times New Roman" w:eastAsia="標楷體" w:hAnsi="標楷體" w:cs="Times New Roman"/>
          <w:kern w:val="0"/>
          <w:sz w:val="28"/>
          <w:szCs w:val="28"/>
        </w:rPr>
      </w:pPr>
      <w:r>
        <w:rPr>
          <w:rFonts w:ascii="Times New Roman" w:eastAsia="標楷體" w:hAnsi="標楷體" w:cs="Times New Roman" w:hint="eastAsia"/>
          <w:sz w:val="28"/>
          <w:szCs w:val="28"/>
        </w:rPr>
        <w:t xml:space="preserve">  </w:t>
      </w:r>
      <w:r w:rsidRPr="002B2BB9">
        <w:rPr>
          <w:rFonts w:ascii="Times New Roman" w:eastAsia="標楷體" w:hAnsi="標楷體" w:cs="Times New Roman" w:hint="eastAsia"/>
          <w:sz w:val="28"/>
          <w:szCs w:val="28"/>
        </w:rPr>
        <w:t xml:space="preserve">  </w:t>
      </w:r>
      <w:r w:rsidRPr="002B2BB9">
        <w:rPr>
          <w:rFonts w:ascii="Times New Roman" w:eastAsia="標楷體" w:hAnsi="標楷體" w:cs="Times New Roman"/>
          <w:sz w:val="28"/>
          <w:szCs w:val="28"/>
        </w:rPr>
        <w:t>有關</w:t>
      </w:r>
      <w:r w:rsidRPr="002B2BB9">
        <w:rPr>
          <w:rFonts w:ascii="Times New Roman" w:eastAsia="標楷體" w:hAnsi="Times New Roman" w:cs="Times New Roman"/>
          <w:sz w:val="28"/>
          <w:szCs w:val="28"/>
        </w:rPr>
        <w:t>SPPI</w:t>
      </w:r>
      <w:r w:rsidRPr="002B2BB9">
        <w:rPr>
          <w:rFonts w:ascii="Times New Roman" w:eastAsia="標楷體" w:hAnsi="標楷體" w:cs="Times New Roman"/>
          <w:sz w:val="28"/>
          <w:szCs w:val="28"/>
        </w:rPr>
        <w:t>之判斷，</w:t>
      </w:r>
      <w:r w:rsidRPr="002B2BB9">
        <w:rPr>
          <w:rFonts w:ascii="Times New Roman" w:eastAsia="標楷體" w:hAnsi="Times New Roman" w:cs="Times New Roman"/>
          <w:sz w:val="28"/>
          <w:szCs w:val="28"/>
        </w:rPr>
        <w:t xml:space="preserve"> </w:t>
      </w:r>
      <w:r w:rsidRPr="002B2BB9">
        <w:rPr>
          <w:rFonts w:ascii="Times New Roman" w:eastAsia="標楷體" w:hAnsi="Times New Roman" w:cs="Times New Roman"/>
          <w:kern w:val="0"/>
          <w:sz w:val="28"/>
          <w:szCs w:val="28"/>
        </w:rPr>
        <w:t>IFRS 9.</w:t>
      </w:r>
      <w:r w:rsidRPr="002B2BB9">
        <w:rPr>
          <w:rFonts w:ascii="Times New Roman" w:eastAsia="標楷體" w:hAnsi="Times New Roman" w:cs="Times New Roman"/>
          <w:bCs/>
          <w:kern w:val="0"/>
          <w:sz w:val="28"/>
          <w:szCs w:val="28"/>
        </w:rPr>
        <w:t>B4.1.1</w:t>
      </w:r>
      <w:r w:rsidRPr="002B2BB9">
        <w:rPr>
          <w:rFonts w:ascii="Times New Roman" w:eastAsia="標楷體" w:hAnsi="標楷體" w:cs="Times New Roman"/>
          <w:kern w:val="0"/>
          <w:sz w:val="28"/>
          <w:szCs w:val="28"/>
        </w:rPr>
        <w:t>至</w:t>
      </w:r>
      <w:r w:rsidRPr="002B2BB9">
        <w:rPr>
          <w:rFonts w:ascii="Times New Roman" w:eastAsia="標楷體" w:hAnsi="Times New Roman" w:cs="Times New Roman"/>
          <w:bCs/>
          <w:kern w:val="0"/>
          <w:sz w:val="28"/>
          <w:szCs w:val="28"/>
        </w:rPr>
        <w:t>B4.1.26</w:t>
      </w:r>
      <w:r w:rsidRPr="002B2BB9">
        <w:rPr>
          <w:rFonts w:ascii="Times New Roman" w:eastAsia="標楷體" w:hAnsi="標楷體" w:cs="Times New Roman"/>
          <w:kern w:val="0"/>
          <w:sz w:val="28"/>
          <w:szCs w:val="28"/>
        </w:rPr>
        <w:t>段已提供如何適用</w:t>
      </w:r>
      <w:r w:rsidRPr="002B2BB9">
        <w:rPr>
          <w:rFonts w:ascii="Times New Roman" w:eastAsia="標楷體" w:hAnsi="標楷體" w:cs="Times New Roman"/>
          <w:kern w:val="0"/>
          <w:sz w:val="28"/>
          <w:szCs w:val="28"/>
        </w:rPr>
        <w:lastRenderedPageBreak/>
        <w:t>該等條件之指引</w:t>
      </w:r>
      <w:r w:rsidR="002B2BB9" w:rsidRPr="002B2BB9">
        <w:rPr>
          <w:rFonts w:ascii="Times New Roman" w:eastAsia="標楷體" w:hAnsi="標楷體" w:cs="Times New Roman" w:hint="eastAsia"/>
          <w:kern w:val="0"/>
          <w:sz w:val="28"/>
          <w:szCs w:val="28"/>
        </w:rPr>
        <w:t>，惟</w:t>
      </w:r>
      <w:r w:rsidRPr="002B2BB9">
        <w:rPr>
          <w:rFonts w:ascii="Times New Roman" w:eastAsia="標楷體" w:hAnsi="標楷體" w:cs="Times New Roman"/>
          <w:kern w:val="0"/>
          <w:sz w:val="28"/>
          <w:szCs w:val="28"/>
        </w:rPr>
        <w:t>基於金融工具之複雜性</w:t>
      </w:r>
      <w:r w:rsidRPr="002B2BB9">
        <w:rPr>
          <w:rFonts w:ascii="Times New Roman" w:eastAsia="標楷體" w:hAnsi="Times New Roman" w:cs="Times New Roman"/>
          <w:kern w:val="0"/>
          <w:sz w:val="28"/>
          <w:szCs w:val="28"/>
        </w:rPr>
        <w:t>(</w:t>
      </w:r>
      <w:r w:rsidRPr="002B2BB9">
        <w:rPr>
          <w:rFonts w:ascii="Times New Roman" w:eastAsia="標楷體" w:hAnsi="標楷體" w:cs="Times New Roman"/>
          <w:kern w:val="0"/>
          <w:sz w:val="28"/>
          <w:szCs w:val="28"/>
        </w:rPr>
        <w:t>特別係針對國外所發行之證券</w:t>
      </w:r>
      <w:r w:rsidRPr="002B2BB9">
        <w:rPr>
          <w:rFonts w:ascii="Times New Roman" w:eastAsia="標楷體" w:hAnsi="Times New Roman" w:cs="Times New Roman"/>
          <w:kern w:val="0"/>
          <w:sz w:val="28"/>
          <w:szCs w:val="28"/>
        </w:rPr>
        <w:t>)</w:t>
      </w:r>
      <w:r w:rsidR="002B2BB9" w:rsidRPr="002B2BB9">
        <w:rPr>
          <w:rFonts w:ascii="Times New Roman" w:eastAsia="標楷體" w:hAnsi="Times New Roman" w:cs="Times New Roman" w:hint="eastAsia"/>
          <w:kern w:val="0"/>
          <w:sz w:val="28"/>
          <w:szCs w:val="28"/>
        </w:rPr>
        <w:t>及個別性</w:t>
      </w:r>
      <w:r w:rsidRPr="002B2BB9">
        <w:rPr>
          <w:rFonts w:ascii="Times New Roman" w:eastAsia="標楷體" w:hAnsi="標楷體" w:cs="Times New Roman"/>
          <w:kern w:val="0"/>
          <w:sz w:val="28"/>
          <w:szCs w:val="28"/>
        </w:rPr>
        <w:t>，</w:t>
      </w:r>
      <w:r w:rsidR="002B2BB9" w:rsidRPr="002B2BB9">
        <w:rPr>
          <w:rFonts w:ascii="標楷體" w:eastAsia="標楷體" w:hAnsi="標楷體" w:hint="eastAsia"/>
          <w:sz w:val="28"/>
          <w:szCs w:val="28"/>
        </w:rPr>
        <w:t>以上指引係作為參考之用途，並未包含所有可能情況</w:t>
      </w:r>
      <w:r w:rsidR="002B2BB9">
        <w:rPr>
          <w:rFonts w:ascii="標楷體" w:eastAsia="標楷體" w:hAnsi="標楷體" w:hint="eastAsia"/>
          <w:sz w:val="28"/>
          <w:szCs w:val="28"/>
        </w:rPr>
        <w:t>，</w:t>
      </w:r>
      <w:r w:rsidRPr="002B2BB9">
        <w:rPr>
          <w:rFonts w:ascii="Times New Roman" w:eastAsia="標楷體" w:hAnsi="標楷體" w:cs="Times New Roman"/>
          <w:kern w:val="0"/>
          <w:sz w:val="28"/>
          <w:szCs w:val="28"/>
        </w:rPr>
        <w:t>企業於分析金融工具時</w:t>
      </w:r>
      <w:r w:rsidR="002B2BB9">
        <w:rPr>
          <w:rFonts w:ascii="Times New Roman" w:eastAsia="標楷體" w:hAnsi="標楷體" w:cs="Times New Roman" w:hint="eastAsia"/>
          <w:kern w:val="0"/>
          <w:sz w:val="28"/>
          <w:szCs w:val="28"/>
        </w:rPr>
        <w:t>是否符合</w:t>
      </w:r>
      <w:r w:rsidR="002B2BB9">
        <w:rPr>
          <w:rFonts w:ascii="Times New Roman" w:eastAsia="標楷體" w:hAnsi="標楷體" w:cs="Times New Roman" w:hint="eastAsia"/>
          <w:kern w:val="0"/>
          <w:sz w:val="28"/>
          <w:szCs w:val="28"/>
        </w:rPr>
        <w:t>SPPI</w:t>
      </w:r>
      <w:r w:rsidR="002B2BB9">
        <w:rPr>
          <w:rFonts w:ascii="Times New Roman" w:eastAsia="標楷體" w:hAnsi="標楷體" w:cs="Times New Roman" w:hint="eastAsia"/>
          <w:kern w:val="0"/>
          <w:sz w:val="28"/>
          <w:szCs w:val="28"/>
        </w:rPr>
        <w:t>時</w:t>
      </w:r>
      <w:r w:rsidR="002B2BB9" w:rsidRPr="002B2BB9">
        <w:rPr>
          <w:rFonts w:ascii="Times New Roman" w:eastAsia="標楷體" w:hAnsi="標楷體" w:cs="Times New Roman" w:hint="eastAsia"/>
          <w:kern w:val="0"/>
          <w:sz w:val="28"/>
          <w:szCs w:val="28"/>
        </w:rPr>
        <w:t>仍應依</w:t>
      </w:r>
      <w:r w:rsidR="003E76B7">
        <w:rPr>
          <w:rFonts w:ascii="Times New Roman" w:eastAsia="標楷體" w:hAnsi="標楷體" w:cs="Times New Roman" w:hint="eastAsia"/>
          <w:kern w:val="0"/>
          <w:sz w:val="28"/>
          <w:szCs w:val="28"/>
        </w:rPr>
        <w:t>所持有之</w:t>
      </w:r>
      <w:r w:rsidR="002B2BB9" w:rsidRPr="002B2BB9">
        <w:rPr>
          <w:rFonts w:ascii="Times New Roman" w:eastAsia="標楷體" w:hAnsi="標楷體" w:cs="Times New Roman" w:hint="eastAsia"/>
          <w:kern w:val="0"/>
          <w:sz w:val="28"/>
          <w:szCs w:val="28"/>
        </w:rPr>
        <w:t>金融</w:t>
      </w:r>
      <w:r w:rsidR="002B2BB9">
        <w:rPr>
          <w:rFonts w:ascii="Times New Roman" w:eastAsia="標楷體" w:hAnsi="標楷體" w:cs="Times New Roman" w:hint="eastAsia"/>
          <w:kern w:val="0"/>
          <w:sz w:val="28"/>
          <w:szCs w:val="28"/>
        </w:rPr>
        <w:t>工</w:t>
      </w:r>
      <w:r w:rsidR="003E76B7">
        <w:rPr>
          <w:rFonts w:ascii="Times New Roman" w:eastAsia="標楷體" w:hAnsi="標楷體" w:cs="Times New Roman" w:hint="eastAsia"/>
          <w:kern w:val="0"/>
          <w:sz w:val="28"/>
          <w:szCs w:val="28"/>
        </w:rPr>
        <w:t>具</w:t>
      </w:r>
      <w:r w:rsidR="002B2BB9" w:rsidRPr="002B2BB9">
        <w:rPr>
          <w:rFonts w:ascii="Times New Roman" w:eastAsia="標楷體" w:hAnsi="標楷體" w:cs="Times New Roman" w:hint="eastAsia"/>
          <w:kern w:val="0"/>
          <w:sz w:val="28"/>
          <w:szCs w:val="28"/>
        </w:rPr>
        <w:t>發行條件予以評估。</w:t>
      </w:r>
    </w:p>
    <w:p w:rsidR="002B2BB9" w:rsidRPr="002B2BB9" w:rsidRDefault="002B2BB9" w:rsidP="00925F92">
      <w:pPr>
        <w:spacing w:line="500" w:lineRule="exact"/>
        <w:rPr>
          <w:rFonts w:ascii="Times New Roman" w:eastAsia="標楷體" w:hAnsi="Times New Roman" w:cs="Times New Roman"/>
          <w:kern w:val="0"/>
          <w:sz w:val="28"/>
          <w:szCs w:val="28"/>
        </w:rPr>
      </w:pPr>
    </w:p>
    <w:p w:rsidR="00853DC3" w:rsidRDefault="00853DC3" w:rsidP="00CC03B5">
      <w:pPr>
        <w:pStyle w:val="a7"/>
        <w:numPr>
          <w:ilvl w:val="0"/>
          <w:numId w:val="4"/>
        </w:numPr>
        <w:spacing w:line="500" w:lineRule="exact"/>
        <w:ind w:leftChars="0"/>
        <w:rPr>
          <w:rFonts w:ascii="標楷體" w:eastAsia="標楷體" w:hAnsi="標楷體"/>
          <w:b/>
          <w:sz w:val="32"/>
          <w:szCs w:val="32"/>
        </w:rPr>
      </w:pPr>
      <w:r w:rsidRPr="00537D32">
        <w:rPr>
          <w:rFonts w:ascii="標楷體" w:eastAsia="標楷體" w:hAnsi="標楷體" w:hint="eastAsia"/>
          <w:b/>
          <w:sz w:val="32"/>
          <w:szCs w:val="32"/>
        </w:rPr>
        <w:t>資料來源</w:t>
      </w:r>
    </w:p>
    <w:p w:rsidR="006F33F8" w:rsidRPr="004F26F5" w:rsidRDefault="006F33F8" w:rsidP="006F33F8">
      <w:pPr>
        <w:pStyle w:val="a7"/>
        <w:numPr>
          <w:ilvl w:val="0"/>
          <w:numId w:val="7"/>
        </w:numPr>
        <w:spacing w:line="500" w:lineRule="exact"/>
        <w:ind w:leftChars="0"/>
        <w:rPr>
          <w:rFonts w:ascii="Times New Roman" w:eastAsia="標楷體" w:hAnsi="Times New Roman" w:cs="Times New Roman"/>
          <w:color w:val="000000" w:themeColor="text1"/>
          <w:sz w:val="28"/>
          <w:szCs w:val="28"/>
        </w:rPr>
      </w:pPr>
      <w:r w:rsidRPr="004F26F5">
        <w:rPr>
          <w:rFonts w:ascii="Times New Roman" w:eastAsia="標楷體" w:hAnsi="Times New Roman" w:cs="Times New Roman"/>
          <w:color w:val="000000" w:themeColor="text1"/>
          <w:sz w:val="28"/>
          <w:szCs w:val="28"/>
        </w:rPr>
        <w:t>IFRS 9</w:t>
      </w:r>
      <w:r w:rsidRPr="004F26F5">
        <w:rPr>
          <w:rFonts w:ascii="Times New Roman" w:eastAsia="標楷體" w:hAnsi="Times New Roman" w:cs="Times New Roman" w:hint="eastAsia"/>
          <w:color w:val="000000" w:themeColor="text1"/>
          <w:sz w:val="28"/>
          <w:szCs w:val="28"/>
        </w:rPr>
        <w:t>金融工具</w:t>
      </w:r>
      <w:r w:rsidRPr="004F26F5">
        <w:rPr>
          <w:rFonts w:ascii="Times New Roman" w:eastAsia="標楷體" w:hAnsi="標楷體" w:cs="Times New Roman"/>
          <w:color w:val="000000" w:themeColor="text1"/>
          <w:sz w:val="28"/>
          <w:szCs w:val="28"/>
        </w:rPr>
        <w:t>正體中文版</w:t>
      </w:r>
    </w:p>
    <w:p w:rsidR="006F33F8" w:rsidRPr="004F26F5" w:rsidRDefault="006F33F8" w:rsidP="006F33F8">
      <w:pPr>
        <w:pStyle w:val="a7"/>
        <w:numPr>
          <w:ilvl w:val="0"/>
          <w:numId w:val="7"/>
        </w:numPr>
        <w:spacing w:line="500" w:lineRule="exact"/>
        <w:ind w:leftChars="0"/>
        <w:rPr>
          <w:rFonts w:ascii="Times New Roman" w:eastAsia="標楷體" w:hAnsi="Times New Roman" w:cs="Times New Roman"/>
          <w:sz w:val="28"/>
          <w:szCs w:val="28"/>
        </w:rPr>
      </w:pPr>
      <w:r w:rsidRPr="004F26F5">
        <w:rPr>
          <w:rFonts w:ascii="Times New Roman" w:eastAsia="標楷體" w:hAnsi="Times New Roman" w:cs="Times New Roman"/>
          <w:sz w:val="28"/>
          <w:szCs w:val="28"/>
        </w:rPr>
        <w:t xml:space="preserve"> “First Impressions - IFRS 9 Financial Instruments (September 2014)” (KPMG)</w:t>
      </w:r>
    </w:p>
    <w:p w:rsidR="006F33F8" w:rsidRDefault="006F33F8" w:rsidP="006F33F8">
      <w:pPr>
        <w:pStyle w:val="a7"/>
        <w:numPr>
          <w:ilvl w:val="0"/>
          <w:numId w:val="7"/>
        </w:numPr>
        <w:spacing w:line="500" w:lineRule="exact"/>
        <w:ind w:leftChars="0"/>
        <w:rPr>
          <w:rFonts w:ascii="Times New Roman" w:eastAsia="標楷體" w:hAnsi="Times New Roman" w:cs="Times New Roman"/>
          <w:sz w:val="28"/>
          <w:szCs w:val="28"/>
        </w:rPr>
      </w:pPr>
      <w:r w:rsidRPr="004F26F5">
        <w:rPr>
          <w:rFonts w:ascii="Times New Roman" w:eastAsia="標楷體" w:hAnsi="Times New Roman" w:cs="Times New Roman"/>
          <w:sz w:val="28"/>
          <w:szCs w:val="28"/>
        </w:rPr>
        <w:t>Insights into IFRS 12</w:t>
      </w:r>
      <w:r w:rsidRPr="004F26F5">
        <w:rPr>
          <w:rFonts w:ascii="Times New Roman" w:eastAsia="標楷體" w:hAnsi="Times New Roman" w:cs="Times New Roman"/>
          <w:sz w:val="28"/>
          <w:szCs w:val="28"/>
          <w:vertAlign w:val="superscript"/>
        </w:rPr>
        <w:t>th</w:t>
      </w:r>
      <w:r w:rsidRPr="004F26F5">
        <w:rPr>
          <w:rFonts w:ascii="Times New Roman" w:eastAsia="標楷體" w:hAnsi="Times New Roman" w:cs="Times New Roman"/>
          <w:sz w:val="28"/>
          <w:szCs w:val="28"/>
        </w:rPr>
        <w:t xml:space="preserve"> edition (KPMG)</w:t>
      </w:r>
    </w:p>
    <w:p w:rsidR="00BE6B7B" w:rsidRPr="006F33F8" w:rsidRDefault="00BE6B7B" w:rsidP="006F33F8">
      <w:pPr>
        <w:pStyle w:val="a7"/>
        <w:numPr>
          <w:ilvl w:val="0"/>
          <w:numId w:val="7"/>
        </w:numPr>
        <w:spacing w:line="500" w:lineRule="exact"/>
        <w:ind w:leftChars="0"/>
        <w:rPr>
          <w:rFonts w:ascii="Times New Roman" w:eastAsia="標楷體" w:hAnsi="Times New Roman" w:cs="Times New Roman"/>
          <w:sz w:val="28"/>
          <w:szCs w:val="28"/>
        </w:rPr>
      </w:pPr>
      <w:r w:rsidRPr="006F33F8">
        <w:rPr>
          <w:rFonts w:ascii="Times New Roman" w:eastAsia="標楷體" w:hAnsi="Times New Roman" w:cs="Times New Roman"/>
          <w:sz w:val="28"/>
          <w:szCs w:val="28"/>
        </w:rPr>
        <w:t>PWC</w:t>
      </w:r>
      <w:r w:rsidRPr="006F33F8">
        <w:rPr>
          <w:rFonts w:ascii="Times New Roman" w:eastAsia="標楷體" w:hAnsi="標楷體" w:cs="Times New Roman"/>
          <w:sz w:val="28"/>
          <w:szCs w:val="28"/>
        </w:rPr>
        <w:t>之</w:t>
      </w:r>
      <w:r w:rsidR="001A736D" w:rsidRPr="006F33F8">
        <w:rPr>
          <w:rFonts w:ascii="Times New Roman" w:eastAsia="標楷體" w:hAnsi="Times New Roman" w:cs="Times New Roman"/>
          <w:sz w:val="28"/>
          <w:szCs w:val="28"/>
        </w:rPr>
        <w:t>In depth</w:t>
      </w:r>
      <w:r w:rsidR="001A736D" w:rsidRPr="006F33F8">
        <w:rPr>
          <w:rFonts w:ascii="Times New Roman" w:eastAsia="標楷體" w:hAnsi="Times New Roman" w:cs="Times New Roman" w:hint="eastAsia"/>
          <w:sz w:val="28"/>
          <w:szCs w:val="28"/>
        </w:rPr>
        <w:t>-</w:t>
      </w:r>
      <w:r w:rsidRPr="006F33F8">
        <w:rPr>
          <w:rFonts w:ascii="Times New Roman" w:eastAsia="標楷體" w:hAnsi="Times New Roman" w:cs="Times New Roman"/>
          <w:sz w:val="28"/>
          <w:szCs w:val="28"/>
        </w:rPr>
        <w:t xml:space="preserve">a look at current financial reporting issues </w:t>
      </w:r>
      <w:r w:rsidR="001A736D" w:rsidRPr="006F33F8">
        <w:rPr>
          <w:rFonts w:ascii="Times New Roman" w:eastAsia="標楷體" w:hAnsi="Times New Roman" w:cs="Times New Roman" w:hint="eastAsia"/>
          <w:sz w:val="28"/>
          <w:szCs w:val="28"/>
        </w:rPr>
        <w:t xml:space="preserve">, </w:t>
      </w:r>
      <w:r w:rsidR="001A736D" w:rsidRPr="006F33F8">
        <w:rPr>
          <w:rFonts w:ascii="Times New Roman" w:eastAsia="標楷體" w:hAnsi="Times New Roman" w:cs="Times New Roman"/>
          <w:sz w:val="28"/>
          <w:szCs w:val="28"/>
        </w:rPr>
        <w:t xml:space="preserve">IFRS 9 </w:t>
      </w:r>
      <w:r w:rsidR="001A736D" w:rsidRPr="006F33F8">
        <w:rPr>
          <w:rFonts w:ascii="Times New Roman" w:eastAsia="標楷體" w:hAnsi="Times New Roman" w:cs="Times New Roman" w:hint="eastAsia"/>
          <w:sz w:val="28"/>
          <w:szCs w:val="28"/>
        </w:rPr>
        <w:t xml:space="preserve">: </w:t>
      </w:r>
      <w:r w:rsidR="001A736D" w:rsidRPr="006F33F8">
        <w:rPr>
          <w:rFonts w:ascii="Times New Roman" w:eastAsia="標楷體" w:hAnsi="Times New Roman" w:cs="Times New Roman"/>
          <w:sz w:val="28"/>
          <w:szCs w:val="28"/>
        </w:rPr>
        <w:t>Classification, measurement and modifications</w:t>
      </w:r>
      <w:r w:rsidR="001A736D" w:rsidRPr="006F33F8">
        <w:rPr>
          <w:rFonts w:ascii="Times New Roman" w:eastAsia="標楷體" w:hAnsi="Times New Roman" w:cs="Times New Roman" w:hint="eastAsia"/>
          <w:sz w:val="28"/>
          <w:szCs w:val="28"/>
        </w:rPr>
        <w:t xml:space="preserve"> </w:t>
      </w:r>
      <w:r w:rsidR="001A736D" w:rsidRPr="006F33F8">
        <w:rPr>
          <w:rFonts w:ascii="Times New Roman" w:eastAsia="標楷體" w:hAnsi="Times New Roman" w:cs="Times New Roman"/>
          <w:sz w:val="28"/>
          <w:szCs w:val="28"/>
        </w:rPr>
        <w:t>-Questions and Answers</w:t>
      </w:r>
      <w:r w:rsidR="001A736D" w:rsidRPr="006F33F8">
        <w:rPr>
          <w:rFonts w:ascii="Times New Roman" w:eastAsia="標楷體" w:hAnsi="Times New Roman" w:cs="Times New Roman" w:hint="eastAsia"/>
          <w:sz w:val="28"/>
          <w:szCs w:val="28"/>
        </w:rPr>
        <w:t>, 2015</w:t>
      </w:r>
      <w:r w:rsidR="001A736D" w:rsidRPr="006F33F8">
        <w:rPr>
          <w:rFonts w:ascii="Times New Roman" w:eastAsia="標楷體" w:hAnsi="Times New Roman" w:cs="Times New Roman" w:hint="eastAsia"/>
          <w:sz w:val="28"/>
          <w:szCs w:val="28"/>
        </w:rPr>
        <w:t>年</w:t>
      </w:r>
      <w:r w:rsidR="001A736D" w:rsidRPr="006F33F8">
        <w:rPr>
          <w:rFonts w:ascii="Times New Roman" w:eastAsia="標楷體" w:hAnsi="Times New Roman" w:cs="Times New Roman" w:hint="eastAsia"/>
          <w:sz w:val="28"/>
          <w:szCs w:val="28"/>
        </w:rPr>
        <w:t>3</w:t>
      </w:r>
      <w:r w:rsidR="001A736D" w:rsidRPr="006F33F8">
        <w:rPr>
          <w:rFonts w:ascii="Times New Roman" w:eastAsia="標楷體" w:hAnsi="Times New Roman" w:cs="Times New Roman" w:hint="eastAsia"/>
          <w:sz w:val="28"/>
          <w:szCs w:val="28"/>
        </w:rPr>
        <w:t>月</w:t>
      </w:r>
    </w:p>
    <w:p w:rsidR="00853DC3" w:rsidRPr="001A736D" w:rsidRDefault="00853DC3" w:rsidP="00BE6B7B">
      <w:pPr>
        <w:spacing w:line="500" w:lineRule="exact"/>
        <w:rPr>
          <w:rFonts w:ascii="標楷體" w:eastAsia="標楷體" w:hAnsi="標楷體"/>
          <w:b/>
          <w:sz w:val="32"/>
          <w:szCs w:val="32"/>
        </w:rPr>
      </w:pPr>
    </w:p>
    <w:sectPr w:rsidR="00853DC3" w:rsidRPr="001A736D" w:rsidSect="00AA607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5DA" w:rsidRDefault="005045DA" w:rsidP="00853DC3">
      <w:r>
        <w:separator/>
      </w:r>
    </w:p>
  </w:endnote>
  <w:endnote w:type="continuationSeparator" w:id="0">
    <w:p w:rsidR="005045DA" w:rsidRDefault="005045DA" w:rsidP="00853D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3Font_4">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9132"/>
      <w:docPartObj>
        <w:docPartGallery w:val="Page Numbers (Bottom of Page)"/>
        <w:docPartUnique/>
      </w:docPartObj>
    </w:sdtPr>
    <w:sdtContent>
      <w:p w:rsidR="008277E4" w:rsidRDefault="004C550F">
        <w:pPr>
          <w:pStyle w:val="a5"/>
          <w:jc w:val="center"/>
        </w:pPr>
        <w:r>
          <w:fldChar w:fldCharType="begin"/>
        </w:r>
        <w:r w:rsidR="008277E4">
          <w:instrText xml:space="preserve"> PAGE   \* MERGEFORMAT </w:instrText>
        </w:r>
        <w:r>
          <w:fldChar w:fldCharType="separate"/>
        </w:r>
        <w:r w:rsidR="00CB0431" w:rsidRPr="00CB0431">
          <w:rPr>
            <w:noProof/>
            <w:lang w:val="zh-TW"/>
          </w:rPr>
          <w:t>2</w:t>
        </w:r>
        <w:r>
          <w:fldChar w:fldCharType="end"/>
        </w:r>
      </w:p>
    </w:sdtContent>
  </w:sdt>
  <w:p w:rsidR="008277E4" w:rsidRDefault="008277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5DA" w:rsidRDefault="005045DA" w:rsidP="00853DC3">
      <w:r>
        <w:separator/>
      </w:r>
    </w:p>
  </w:footnote>
  <w:footnote w:type="continuationSeparator" w:id="0">
    <w:p w:rsidR="005045DA" w:rsidRDefault="005045DA" w:rsidP="00853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0405"/>
    <w:multiLevelType w:val="hybridMultilevel"/>
    <w:tmpl w:val="88C6A428"/>
    <w:lvl w:ilvl="0" w:tplc="04090001">
      <w:start w:val="1"/>
      <w:numFmt w:val="bullet"/>
      <w:lvlText w:val=""/>
      <w:lvlJc w:val="left"/>
      <w:pPr>
        <w:ind w:left="967" w:hanging="480"/>
      </w:pPr>
      <w:rPr>
        <w:rFonts w:ascii="Wingdings" w:hAnsi="Wingdings" w:hint="default"/>
      </w:rPr>
    </w:lvl>
    <w:lvl w:ilvl="1" w:tplc="04090003" w:tentative="1">
      <w:start w:val="1"/>
      <w:numFmt w:val="bullet"/>
      <w:lvlText w:val=""/>
      <w:lvlJc w:val="left"/>
      <w:pPr>
        <w:ind w:left="1447" w:hanging="480"/>
      </w:pPr>
      <w:rPr>
        <w:rFonts w:ascii="Wingdings" w:hAnsi="Wingdings" w:hint="default"/>
      </w:rPr>
    </w:lvl>
    <w:lvl w:ilvl="2" w:tplc="04090005" w:tentative="1">
      <w:start w:val="1"/>
      <w:numFmt w:val="bullet"/>
      <w:lvlText w:val=""/>
      <w:lvlJc w:val="left"/>
      <w:pPr>
        <w:ind w:left="1927" w:hanging="480"/>
      </w:pPr>
      <w:rPr>
        <w:rFonts w:ascii="Wingdings" w:hAnsi="Wingdings" w:hint="default"/>
      </w:rPr>
    </w:lvl>
    <w:lvl w:ilvl="3" w:tplc="04090001" w:tentative="1">
      <w:start w:val="1"/>
      <w:numFmt w:val="bullet"/>
      <w:lvlText w:val=""/>
      <w:lvlJc w:val="left"/>
      <w:pPr>
        <w:ind w:left="2407" w:hanging="480"/>
      </w:pPr>
      <w:rPr>
        <w:rFonts w:ascii="Wingdings" w:hAnsi="Wingdings" w:hint="default"/>
      </w:rPr>
    </w:lvl>
    <w:lvl w:ilvl="4" w:tplc="04090003" w:tentative="1">
      <w:start w:val="1"/>
      <w:numFmt w:val="bullet"/>
      <w:lvlText w:val=""/>
      <w:lvlJc w:val="left"/>
      <w:pPr>
        <w:ind w:left="2887" w:hanging="480"/>
      </w:pPr>
      <w:rPr>
        <w:rFonts w:ascii="Wingdings" w:hAnsi="Wingdings" w:hint="default"/>
      </w:rPr>
    </w:lvl>
    <w:lvl w:ilvl="5" w:tplc="04090005" w:tentative="1">
      <w:start w:val="1"/>
      <w:numFmt w:val="bullet"/>
      <w:lvlText w:val=""/>
      <w:lvlJc w:val="left"/>
      <w:pPr>
        <w:ind w:left="3367" w:hanging="480"/>
      </w:pPr>
      <w:rPr>
        <w:rFonts w:ascii="Wingdings" w:hAnsi="Wingdings" w:hint="default"/>
      </w:rPr>
    </w:lvl>
    <w:lvl w:ilvl="6" w:tplc="04090001" w:tentative="1">
      <w:start w:val="1"/>
      <w:numFmt w:val="bullet"/>
      <w:lvlText w:val=""/>
      <w:lvlJc w:val="left"/>
      <w:pPr>
        <w:ind w:left="3847" w:hanging="480"/>
      </w:pPr>
      <w:rPr>
        <w:rFonts w:ascii="Wingdings" w:hAnsi="Wingdings" w:hint="default"/>
      </w:rPr>
    </w:lvl>
    <w:lvl w:ilvl="7" w:tplc="04090003" w:tentative="1">
      <w:start w:val="1"/>
      <w:numFmt w:val="bullet"/>
      <w:lvlText w:val=""/>
      <w:lvlJc w:val="left"/>
      <w:pPr>
        <w:ind w:left="4327" w:hanging="480"/>
      </w:pPr>
      <w:rPr>
        <w:rFonts w:ascii="Wingdings" w:hAnsi="Wingdings" w:hint="default"/>
      </w:rPr>
    </w:lvl>
    <w:lvl w:ilvl="8" w:tplc="04090005" w:tentative="1">
      <w:start w:val="1"/>
      <w:numFmt w:val="bullet"/>
      <w:lvlText w:val=""/>
      <w:lvlJc w:val="left"/>
      <w:pPr>
        <w:ind w:left="4807" w:hanging="480"/>
      </w:pPr>
      <w:rPr>
        <w:rFonts w:ascii="Wingdings" w:hAnsi="Wingdings" w:hint="default"/>
      </w:rPr>
    </w:lvl>
  </w:abstractNum>
  <w:abstractNum w:abstractNumId="1">
    <w:nsid w:val="2AF00585"/>
    <w:multiLevelType w:val="hybridMultilevel"/>
    <w:tmpl w:val="25FA3420"/>
    <w:lvl w:ilvl="0" w:tplc="CACC675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2A7EDF"/>
    <w:multiLevelType w:val="hybridMultilevel"/>
    <w:tmpl w:val="59DA813E"/>
    <w:lvl w:ilvl="0" w:tplc="F99A1E00">
      <w:start w:val="1"/>
      <w:numFmt w:val="decimal"/>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
    <w:nsid w:val="661E5620"/>
    <w:multiLevelType w:val="hybridMultilevel"/>
    <w:tmpl w:val="51627AEA"/>
    <w:lvl w:ilvl="0" w:tplc="68FAE0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9DC665F"/>
    <w:multiLevelType w:val="hybridMultilevel"/>
    <w:tmpl w:val="A6DA92C2"/>
    <w:lvl w:ilvl="0" w:tplc="B80630DA">
      <w:start w:val="1"/>
      <w:numFmt w:val="decimal"/>
      <w:lvlText w:val="%1."/>
      <w:lvlJc w:val="left"/>
      <w:pPr>
        <w:ind w:left="1099" w:hanging="390"/>
      </w:pPr>
      <w:rPr>
        <w:rFonts w:ascii="Times New Roman" w:hAnsi="Times New Roman" w:cs="Times New Roman"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74286D1A"/>
    <w:multiLevelType w:val="hybridMultilevel"/>
    <w:tmpl w:val="7CC2C588"/>
    <w:lvl w:ilvl="0" w:tplc="9718F2F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DC3"/>
    <w:rsid w:val="00000483"/>
    <w:rsid w:val="000977E4"/>
    <w:rsid w:val="000D2FBA"/>
    <w:rsid w:val="000D786E"/>
    <w:rsid w:val="00154151"/>
    <w:rsid w:val="001A736D"/>
    <w:rsid w:val="00202071"/>
    <w:rsid w:val="00203F1A"/>
    <w:rsid w:val="00211EB1"/>
    <w:rsid w:val="00227547"/>
    <w:rsid w:val="00231158"/>
    <w:rsid w:val="002334AA"/>
    <w:rsid w:val="002B2BB9"/>
    <w:rsid w:val="002D7A88"/>
    <w:rsid w:val="002F5CFD"/>
    <w:rsid w:val="00365637"/>
    <w:rsid w:val="003B17F5"/>
    <w:rsid w:val="003B1A9E"/>
    <w:rsid w:val="003E76B7"/>
    <w:rsid w:val="0041043D"/>
    <w:rsid w:val="0045506C"/>
    <w:rsid w:val="004C550F"/>
    <w:rsid w:val="00501465"/>
    <w:rsid w:val="005045DA"/>
    <w:rsid w:val="00537D32"/>
    <w:rsid w:val="0055277E"/>
    <w:rsid w:val="005869FC"/>
    <w:rsid w:val="00597D8B"/>
    <w:rsid w:val="005E6485"/>
    <w:rsid w:val="005E6CCF"/>
    <w:rsid w:val="00657124"/>
    <w:rsid w:val="00690213"/>
    <w:rsid w:val="006A6A0A"/>
    <w:rsid w:val="006F33F8"/>
    <w:rsid w:val="0073673C"/>
    <w:rsid w:val="007552C4"/>
    <w:rsid w:val="00790BB7"/>
    <w:rsid w:val="00814682"/>
    <w:rsid w:val="008277E4"/>
    <w:rsid w:val="008431B5"/>
    <w:rsid w:val="00853DC3"/>
    <w:rsid w:val="00863323"/>
    <w:rsid w:val="008B3261"/>
    <w:rsid w:val="00925F92"/>
    <w:rsid w:val="00967246"/>
    <w:rsid w:val="00A17F7F"/>
    <w:rsid w:val="00A56CED"/>
    <w:rsid w:val="00A7124A"/>
    <w:rsid w:val="00A754E8"/>
    <w:rsid w:val="00A84A9F"/>
    <w:rsid w:val="00AA6078"/>
    <w:rsid w:val="00AB242A"/>
    <w:rsid w:val="00AC7A48"/>
    <w:rsid w:val="00AD36B5"/>
    <w:rsid w:val="00AF4C21"/>
    <w:rsid w:val="00B15621"/>
    <w:rsid w:val="00B46EE6"/>
    <w:rsid w:val="00B474A5"/>
    <w:rsid w:val="00B77A93"/>
    <w:rsid w:val="00B9202C"/>
    <w:rsid w:val="00BE6B7B"/>
    <w:rsid w:val="00BF7BF1"/>
    <w:rsid w:val="00C07FD9"/>
    <w:rsid w:val="00C15E0A"/>
    <w:rsid w:val="00C36A1F"/>
    <w:rsid w:val="00C55D01"/>
    <w:rsid w:val="00C73A10"/>
    <w:rsid w:val="00CB0431"/>
    <w:rsid w:val="00CC03B5"/>
    <w:rsid w:val="00CE60AD"/>
    <w:rsid w:val="00CF4D01"/>
    <w:rsid w:val="00CF4FCE"/>
    <w:rsid w:val="00D021E2"/>
    <w:rsid w:val="00D12331"/>
    <w:rsid w:val="00D16DB8"/>
    <w:rsid w:val="00D53BA2"/>
    <w:rsid w:val="00D76952"/>
    <w:rsid w:val="00D80111"/>
    <w:rsid w:val="00DE56F9"/>
    <w:rsid w:val="00E12487"/>
    <w:rsid w:val="00E757D7"/>
    <w:rsid w:val="00EC32B9"/>
    <w:rsid w:val="00F06CC7"/>
    <w:rsid w:val="00F26D32"/>
    <w:rsid w:val="00F43B51"/>
    <w:rsid w:val="00F5093B"/>
    <w:rsid w:val="00F618AA"/>
    <w:rsid w:val="00F65D1A"/>
    <w:rsid w:val="00FA5C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3DC3"/>
    <w:pPr>
      <w:tabs>
        <w:tab w:val="center" w:pos="4153"/>
        <w:tab w:val="right" w:pos="8306"/>
      </w:tabs>
      <w:snapToGrid w:val="0"/>
    </w:pPr>
    <w:rPr>
      <w:sz w:val="20"/>
      <w:szCs w:val="20"/>
    </w:rPr>
  </w:style>
  <w:style w:type="character" w:customStyle="1" w:styleId="a4">
    <w:name w:val="頁首 字元"/>
    <w:basedOn w:val="a0"/>
    <w:link w:val="a3"/>
    <w:uiPriority w:val="99"/>
    <w:semiHidden/>
    <w:rsid w:val="00853DC3"/>
    <w:rPr>
      <w:sz w:val="20"/>
      <w:szCs w:val="20"/>
    </w:rPr>
  </w:style>
  <w:style w:type="paragraph" w:styleId="a5">
    <w:name w:val="footer"/>
    <w:basedOn w:val="a"/>
    <w:link w:val="a6"/>
    <w:uiPriority w:val="99"/>
    <w:unhideWhenUsed/>
    <w:rsid w:val="00853DC3"/>
    <w:pPr>
      <w:tabs>
        <w:tab w:val="center" w:pos="4153"/>
        <w:tab w:val="right" w:pos="8306"/>
      </w:tabs>
      <w:snapToGrid w:val="0"/>
    </w:pPr>
    <w:rPr>
      <w:sz w:val="20"/>
      <w:szCs w:val="20"/>
    </w:rPr>
  </w:style>
  <w:style w:type="character" w:customStyle="1" w:styleId="a6">
    <w:name w:val="頁尾 字元"/>
    <w:basedOn w:val="a0"/>
    <w:link w:val="a5"/>
    <w:uiPriority w:val="99"/>
    <w:rsid w:val="00853DC3"/>
    <w:rPr>
      <w:sz w:val="20"/>
      <w:szCs w:val="20"/>
    </w:rPr>
  </w:style>
  <w:style w:type="paragraph" w:styleId="a7">
    <w:name w:val="List Paragraph"/>
    <w:basedOn w:val="a"/>
    <w:uiPriority w:val="34"/>
    <w:qFormat/>
    <w:rsid w:val="00853DC3"/>
    <w:pPr>
      <w:ind w:leftChars="200" w:left="480"/>
    </w:pPr>
  </w:style>
  <w:style w:type="paragraph" w:styleId="a8">
    <w:name w:val="Balloon Text"/>
    <w:basedOn w:val="a"/>
    <w:link w:val="a9"/>
    <w:uiPriority w:val="99"/>
    <w:semiHidden/>
    <w:unhideWhenUsed/>
    <w:rsid w:val="00C15E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5E0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30</cp:revision>
  <cp:lastPrinted>2014-05-30T06:16:00Z</cp:lastPrinted>
  <dcterms:created xsi:type="dcterms:W3CDTF">2016-05-20T03:48:00Z</dcterms:created>
  <dcterms:modified xsi:type="dcterms:W3CDTF">2016-08-17T02:45:00Z</dcterms:modified>
</cp:coreProperties>
</file>